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12" w:space="0" w:color="8BAE3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64"/>
        <w:gridCol w:w="2816"/>
      </w:tblGrid>
      <w:tr w:rsidR="00092FC4" w:rsidRPr="003470BA" w14:paraId="3FF0C21A" w14:textId="77777777" w:rsidTr="00C83D5D">
        <w:tc>
          <w:tcPr>
            <w:tcW w:w="7891" w:type="dxa"/>
            <w:tcBorders>
              <w:bottom w:val="single" w:sz="12" w:space="0" w:color="8BAE3D"/>
            </w:tcBorders>
            <w:tcMar>
              <w:left w:w="0" w:type="dxa"/>
              <w:bottom w:w="115" w:type="dxa"/>
              <w:right w:w="115" w:type="dxa"/>
            </w:tcMar>
            <w:vAlign w:val="center"/>
          </w:tcPr>
          <w:p w14:paraId="60572183" w14:textId="54F9EFB4" w:rsidR="00080F4A" w:rsidRPr="002F75D5" w:rsidRDefault="007B0654" w:rsidP="00092FC4">
            <w:pPr>
              <w:pStyle w:val="Title"/>
              <w:rPr>
                <w:sz w:val="32"/>
                <w:szCs w:val="32"/>
              </w:rPr>
            </w:pPr>
            <w:bookmarkStart w:id="0" w:name="_Hlk78299183"/>
            <w:r w:rsidRPr="007B0654">
              <w:rPr>
                <w:sz w:val="32"/>
                <w:szCs w:val="32"/>
                <w:lang w:val="fr-CA"/>
              </w:rPr>
              <w:t>Examen de santé pour adultes ayant des déficiences intellectuelles et développementales</w:t>
            </w:r>
          </w:p>
        </w:tc>
        <w:tc>
          <w:tcPr>
            <w:tcW w:w="2722" w:type="dxa"/>
            <w:tcMar>
              <w:left w:w="115" w:type="dxa"/>
              <w:bottom w:w="115" w:type="dxa"/>
              <w:right w:w="115" w:type="dxa"/>
            </w:tcMar>
          </w:tcPr>
          <w:p w14:paraId="5F78FF8E" w14:textId="5B5CA2E6" w:rsidR="00080F4A" w:rsidRPr="00C95892" w:rsidRDefault="00E80CB0" w:rsidP="00C83D5D">
            <w:pPr>
              <w:pStyle w:val="NoSpacing"/>
            </w:pPr>
            <w:r>
              <w:rPr>
                <w:noProof/>
              </w:rPr>
              <w:drawing>
                <wp:anchor distT="0" distB="0" distL="114300" distR="114300" simplePos="0" relativeHeight="251658241" behindDoc="0" locked="0" layoutInCell="1" allowOverlap="1" wp14:anchorId="2B20F495" wp14:editId="054D7A08">
                  <wp:simplePos x="0" y="0"/>
                  <wp:positionH relativeFrom="column">
                    <wp:posOffset>356235</wp:posOffset>
                  </wp:positionH>
                  <wp:positionV relativeFrom="paragraph">
                    <wp:posOffset>0</wp:posOffset>
                  </wp:positionV>
                  <wp:extent cx="420097" cy="514350"/>
                  <wp:effectExtent l="0" t="0" r="0" b="0"/>
                  <wp:wrapNone/>
                  <wp:docPr id="3" name="Picture 3"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ee, out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097" cy="514350"/>
                          </a:xfrm>
                          <a:prstGeom prst="rect">
                            <a:avLst/>
                          </a:prstGeom>
                        </pic:spPr>
                      </pic:pic>
                    </a:graphicData>
                  </a:graphic>
                </wp:anchor>
              </w:drawing>
            </w:r>
            <w:r>
              <w:rPr>
                <w:noProof/>
              </w:rPr>
              <w:drawing>
                <wp:anchor distT="0" distB="0" distL="114300" distR="114300" simplePos="0" relativeHeight="251658240" behindDoc="0" locked="0" layoutInCell="1" allowOverlap="1" wp14:anchorId="4AF5CFD0" wp14:editId="4F2F8C47">
                  <wp:simplePos x="0" y="0"/>
                  <wp:positionH relativeFrom="column">
                    <wp:posOffset>991235</wp:posOffset>
                  </wp:positionH>
                  <wp:positionV relativeFrom="paragraph">
                    <wp:posOffset>-12700</wp:posOffset>
                  </wp:positionV>
                  <wp:extent cx="721360" cy="552450"/>
                  <wp:effectExtent l="0" t="0" r="254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1360" cy="5524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r>
    </w:tbl>
    <w:p w14:paraId="42D488BF" w14:textId="2CD1D7D4" w:rsidR="0016538B" w:rsidRPr="003470BA" w:rsidRDefault="0016538B" w:rsidP="00BE3ECD">
      <w:pPr>
        <w:pStyle w:val="NoSpacing"/>
      </w:pPr>
    </w:p>
    <w:p w14:paraId="3472185A" w14:textId="1DB20C47" w:rsidR="00766591" w:rsidRPr="003470BA" w:rsidRDefault="007B0654" w:rsidP="002D5317">
      <w:pPr>
        <w:pStyle w:val="Heading2"/>
      </w:pPr>
      <w:bookmarkStart w:id="1" w:name="_Hlk150165882"/>
      <w:bookmarkStart w:id="2" w:name="_Hlk150165801"/>
      <w:r w:rsidRPr="007B0654">
        <w:rPr>
          <w:lang w:val="fr-CA"/>
        </w:rPr>
        <w:t>É</w:t>
      </w:r>
      <w:r>
        <w:rPr>
          <w:lang w:val="fr-CA"/>
        </w:rPr>
        <w:t>tape</w:t>
      </w:r>
      <w:r w:rsidRPr="007B0654">
        <w:rPr>
          <w:lang w:val="fr-CA"/>
        </w:rPr>
        <w:t xml:space="preserve"> 1</w:t>
      </w:r>
      <w:bookmarkStart w:id="3" w:name="_Hlk150166721"/>
      <w:r w:rsidR="00D93F0D">
        <w:t>:</w:t>
      </w:r>
      <w:r w:rsidR="003D2260">
        <w:t xml:space="preserve"> </w:t>
      </w:r>
      <w:r w:rsidRPr="007B0654">
        <w:rPr>
          <w:rFonts w:ascii="Lato" w:hAnsi="Lato"/>
          <w:lang w:val="fr-CA"/>
        </w:rPr>
        <w:t>Rencontre initiale</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single" w:sz="2" w:space="0" w:color="D9D9D9" w:themeColor="background1" w:themeShade="D9"/>
        </w:tblBorders>
        <w:tblLayout w:type="fixed"/>
        <w:tblCellMar>
          <w:top w:w="29" w:type="dxa"/>
          <w:left w:w="144" w:type="dxa"/>
          <w:bottom w:w="29" w:type="dxa"/>
          <w:right w:w="58" w:type="dxa"/>
        </w:tblCellMar>
        <w:tblLook w:val="04A0" w:firstRow="1" w:lastRow="0" w:firstColumn="1" w:lastColumn="0" w:noHBand="0" w:noVBand="1"/>
      </w:tblPr>
      <w:tblGrid>
        <w:gridCol w:w="727"/>
        <w:gridCol w:w="720"/>
        <w:gridCol w:w="5641"/>
        <w:gridCol w:w="3717"/>
      </w:tblGrid>
      <w:tr w:rsidR="008A5940" w:rsidRPr="003470BA" w14:paraId="2C05381F" w14:textId="77777777" w:rsidTr="00CF374F">
        <w:trPr>
          <w:trHeight w:val="144"/>
        </w:trPr>
        <w:tc>
          <w:tcPr>
            <w:tcW w:w="727"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tcMar>
              <w:top w:w="14" w:type="dxa"/>
              <w:left w:w="58" w:type="dxa"/>
              <w:bottom w:w="14" w:type="dxa"/>
              <w:right w:w="58" w:type="dxa"/>
            </w:tcMar>
            <w:vAlign w:val="center"/>
          </w:tcPr>
          <w:p w14:paraId="2A3FB7EC" w14:textId="160A8D8C" w:rsidR="008A5940" w:rsidRPr="003470BA" w:rsidRDefault="009A413B" w:rsidP="00E9742C">
            <w:pPr>
              <w:pStyle w:val="H3"/>
              <w:jc w:val="center"/>
            </w:pPr>
            <w:bookmarkStart w:id="4" w:name="_Hlk150165888"/>
            <w:bookmarkEnd w:id="1"/>
            <w:r>
              <w:t>1</w:t>
            </w:r>
            <w:r w:rsidR="007D02AA" w:rsidRPr="007D02AA">
              <w:rPr>
                <w:vertAlign w:val="superscript"/>
              </w:rPr>
              <w:t>re</w:t>
            </w:r>
            <w:r w:rsidR="007D02AA">
              <w:t xml:space="preserve"> </w:t>
            </w:r>
            <w:proofErr w:type="spellStart"/>
            <w:r w:rsidR="007D02AA" w:rsidRPr="007D02AA">
              <w:t>année</w:t>
            </w:r>
            <w:proofErr w:type="spellEnd"/>
          </w:p>
        </w:tc>
        <w:tc>
          <w:tcPr>
            <w:tcW w:w="720" w:type="dxa"/>
            <w:tcBorders>
              <w:top w:val="single" w:sz="4" w:space="0" w:color="BFBFBF" w:themeColor="background1" w:themeShade="BF"/>
              <w:left w:val="nil"/>
              <w:bottom w:val="nil"/>
              <w:right w:val="single" w:sz="4" w:space="0" w:color="BFBFBF" w:themeColor="background1" w:themeShade="BF"/>
            </w:tcBorders>
            <w:tcMar>
              <w:top w:w="14" w:type="dxa"/>
              <w:left w:w="58" w:type="dxa"/>
              <w:bottom w:w="14" w:type="dxa"/>
              <w:right w:w="58" w:type="dxa"/>
            </w:tcMar>
            <w:vAlign w:val="center"/>
          </w:tcPr>
          <w:p w14:paraId="697FA3A9" w14:textId="58A9B53A" w:rsidR="008A5940" w:rsidRPr="003470BA" w:rsidRDefault="009A413B" w:rsidP="00E9742C">
            <w:pPr>
              <w:pStyle w:val="H3"/>
              <w:jc w:val="center"/>
            </w:pPr>
            <w:r>
              <w:t>2</w:t>
            </w:r>
            <w:r w:rsidR="007D02AA" w:rsidRPr="007D02AA">
              <w:rPr>
                <w:vertAlign w:val="superscript"/>
              </w:rPr>
              <w:t>e</w:t>
            </w:r>
            <w:r w:rsidR="007D02AA">
              <w:t xml:space="preserve"> </w:t>
            </w:r>
            <w:proofErr w:type="spellStart"/>
            <w:r w:rsidR="007D02AA" w:rsidRPr="007D02AA">
              <w:t>année</w:t>
            </w:r>
            <w:proofErr w:type="spellEnd"/>
          </w:p>
        </w:tc>
        <w:tc>
          <w:tcPr>
            <w:tcW w:w="9358" w:type="dxa"/>
            <w:gridSpan w:val="2"/>
            <w:tcBorders>
              <w:top w:val="nil"/>
              <w:left w:val="single" w:sz="4" w:space="0" w:color="BFBFBF" w:themeColor="background1" w:themeShade="BF"/>
              <w:bottom w:val="single" w:sz="4" w:space="0" w:color="BFBFBF" w:themeColor="background1" w:themeShade="BF"/>
              <w:right w:val="nil"/>
            </w:tcBorders>
            <w:tcMar>
              <w:top w:w="14" w:type="dxa"/>
              <w:left w:w="58" w:type="dxa"/>
              <w:bottom w:w="14" w:type="dxa"/>
              <w:right w:w="58" w:type="dxa"/>
            </w:tcMar>
            <w:vAlign w:val="bottom"/>
          </w:tcPr>
          <w:p w14:paraId="53DEF90D" w14:textId="77777777" w:rsidR="008A5940" w:rsidRPr="003470BA" w:rsidRDefault="008A5940" w:rsidP="00BE3ECD">
            <w:pPr>
              <w:pStyle w:val="NoSpacing"/>
            </w:pPr>
          </w:p>
        </w:tc>
      </w:tr>
      <w:tr w:rsidR="00766591" w:rsidRPr="003470BA" w14:paraId="77EA792D" w14:textId="77777777" w:rsidTr="00CF374F">
        <w:trPr>
          <w:trHeight w:val="187"/>
        </w:trPr>
        <w:tc>
          <w:tcPr>
            <w:tcW w:w="727" w:type="dxa"/>
            <w:tcBorders>
              <w:top w:val="nil"/>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58" w:type="dxa"/>
              <w:bottom w:w="14" w:type="dxa"/>
              <w:right w:w="58" w:type="dxa"/>
            </w:tcMar>
            <w:vAlign w:val="center"/>
          </w:tcPr>
          <w:p w14:paraId="5F46D347" w14:textId="1F8F9498" w:rsidR="00766591" w:rsidRPr="00A66DEC" w:rsidRDefault="007D02AA" w:rsidP="00314E04">
            <w:pPr>
              <w:pStyle w:val="TableHeaders"/>
              <w:jc w:val="center"/>
            </w:pPr>
            <w:r>
              <w:t>Fait</w:t>
            </w:r>
          </w:p>
        </w:tc>
        <w:tc>
          <w:tcPr>
            <w:tcW w:w="720" w:type="dxa"/>
            <w:tcBorders>
              <w:top w:val="nil"/>
              <w:left w:val="nil"/>
              <w:bottom w:val="single" w:sz="2" w:space="0" w:color="D9D9D9" w:themeColor="background1" w:themeShade="D9"/>
              <w:right w:val="single" w:sz="4" w:space="0" w:color="BFBFBF" w:themeColor="background1" w:themeShade="BF"/>
            </w:tcBorders>
            <w:tcMar>
              <w:top w:w="14" w:type="dxa"/>
              <w:left w:w="58" w:type="dxa"/>
              <w:bottom w:w="14" w:type="dxa"/>
              <w:right w:w="58" w:type="dxa"/>
            </w:tcMar>
            <w:vAlign w:val="center"/>
          </w:tcPr>
          <w:p w14:paraId="3B2438B7" w14:textId="6062A198" w:rsidR="00766591" w:rsidRPr="00A66DEC" w:rsidRDefault="007D02AA" w:rsidP="00314E04">
            <w:pPr>
              <w:pStyle w:val="TableHeaders"/>
              <w:jc w:val="center"/>
            </w:pPr>
            <w:r>
              <w:t>Fait</w:t>
            </w:r>
          </w:p>
        </w:tc>
        <w:tc>
          <w:tcPr>
            <w:tcW w:w="5641" w:type="dxa"/>
            <w:tcBorders>
              <w:top w:val="single" w:sz="4" w:space="0" w:color="BFBFBF" w:themeColor="background1" w:themeShade="BF"/>
              <w:left w:val="single" w:sz="4"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right w:w="58" w:type="dxa"/>
            </w:tcMar>
            <w:vAlign w:val="center"/>
          </w:tcPr>
          <w:p w14:paraId="77A089DC" w14:textId="50CE6E85" w:rsidR="00766591" w:rsidRPr="00A66DEC" w:rsidRDefault="007B0654" w:rsidP="00314E04">
            <w:pPr>
              <w:pStyle w:val="TableHeaders"/>
            </w:pPr>
            <w:r w:rsidRPr="007B0654">
              <w:rPr>
                <w:lang w:val="fr-CA"/>
              </w:rPr>
              <w:t>Information sur le patient</w:t>
            </w:r>
          </w:p>
        </w:tc>
        <w:tc>
          <w:tcPr>
            <w:tcW w:w="3717" w:type="dxa"/>
            <w:tcBorders>
              <w:top w:val="single" w:sz="4" w:space="0" w:color="BFBFBF" w:themeColor="background1" w:themeShade="BF"/>
              <w:left w:val="single" w:sz="4" w:space="0" w:color="BFBFBF" w:themeColor="background1" w:themeShade="BF"/>
              <w:bottom w:val="single" w:sz="4" w:space="0" w:color="D0CECE" w:themeColor="background2" w:themeShade="E6"/>
              <w:right w:val="single" w:sz="4" w:space="0" w:color="BFBFBF" w:themeColor="background1" w:themeShade="BF"/>
            </w:tcBorders>
            <w:tcMar>
              <w:top w:w="14" w:type="dxa"/>
              <w:left w:w="58" w:type="dxa"/>
              <w:bottom w:w="14" w:type="dxa"/>
              <w:right w:w="58" w:type="dxa"/>
            </w:tcMar>
            <w:vAlign w:val="center"/>
          </w:tcPr>
          <w:p w14:paraId="64D5C4C4" w14:textId="72365C80" w:rsidR="00766591" w:rsidRPr="00A66DEC" w:rsidRDefault="000C277B" w:rsidP="00314E04">
            <w:pPr>
              <w:pStyle w:val="TableHeaders"/>
            </w:pPr>
            <w:r w:rsidRPr="000C277B">
              <w:t>Remarques</w:t>
            </w:r>
          </w:p>
        </w:tc>
      </w:tr>
      <w:tr w:rsidR="00CF374F" w:rsidRPr="003470BA" w14:paraId="46617544" w14:textId="77777777" w:rsidTr="00CF374F">
        <w:trPr>
          <w:trHeight w:val="144"/>
        </w:trPr>
        <w:tc>
          <w:tcPr>
            <w:tcW w:w="727" w:type="dxa"/>
            <w:tcBorders>
              <w:top w:val="single" w:sz="2" w:space="0" w:color="D9D9D9" w:themeColor="background1" w:themeShade="D9"/>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58" w:type="dxa"/>
              <w:bottom w:w="14" w:type="dxa"/>
              <w:right w:w="58" w:type="dxa"/>
            </w:tcMar>
            <w:vAlign w:val="center"/>
          </w:tcPr>
          <w:p w14:paraId="7937BBB7" w14:textId="77777777" w:rsidR="00CF374F" w:rsidRPr="003470BA" w:rsidRDefault="00CF374F" w:rsidP="00171C02">
            <w:pPr>
              <w:pStyle w:val="NoSpacing"/>
              <w:jc w:val="center"/>
            </w:pPr>
            <w:r w:rsidRPr="003470BA">
              <w:rPr>
                <w:rFonts w:ascii="Segoe UI Symbol" w:hAnsi="Segoe UI Symbol" w:cs="Segoe UI Symbol"/>
              </w:rPr>
              <w:t>☐</w:t>
            </w:r>
          </w:p>
        </w:tc>
        <w:tc>
          <w:tcPr>
            <w:tcW w:w="720" w:type="dxa"/>
            <w:tcBorders>
              <w:top w:val="single" w:sz="2" w:space="0" w:color="D9D9D9" w:themeColor="background1" w:themeShade="D9"/>
              <w:left w:val="nil"/>
              <w:bottom w:val="single" w:sz="2" w:space="0" w:color="D9D9D9" w:themeColor="background1" w:themeShade="D9"/>
              <w:right w:val="single" w:sz="4" w:space="0" w:color="BFBFBF" w:themeColor="background1" w:themeShade="BF"/>
            </w:tcBorders>
            <w:tcMar>
              <w:top w:w="14" w:type="dxa"/>
              <w:left w:w="58" w:type="dxa"/>
              <w:bottom w:w="14" w:type="dxa"/>
              <w:right w:w="58" w:type="dxa"/>
            </w:tcMar>
            <w:vAlign w:val="center"/>
          </w:tcPr>
          <w:p w14:paraId="6A294BCC" w14:textId="77777777" w:rsidR="00CF374F" w:rsidRPr="003470BA" w:rsidRDefault="00CF374F" w:rsidP="00171C02">
            <w:pPr>
              <w:pStyle w:val="NoSpacing"/>
              <w:jc w:val="center"/>
            </w:pPr>
            <w:r w:rsidRPr="003470BA">
              <w:rPr>
                <w:rFonts w:ascii="Segoe UI Symbol" w:hAnsi="Segoe UI Symbol" w:cs="Segoe UI Symbol"/>
              </w:rPr>
              <w:t>☐</w:t>
            </w:r>
          </w:p>
        </w:tc>
        <w:tc>
          <w:tcPr>
            <w:tcW w:w="5641"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right w:w="58" w:type="dxa"/>
            </w:tcMar>
            <w:vAlign w:val="center"/>
          </w:tcPr>
          <w:p w14:paraId="4D4DB5BD" w14:textId="3FB9C666" w:rsidR="00CF374F" w:rsidRPr="007B0654" w:rsidRDefault="00CF374F" w:rsidP="00BE3ECD">
            <w:pPr>
              <w:pStyle w:val="NoSpacing"/>
              <w:rPr>
                <w:lang w:val="fr-CA"/>
              </w:rPr>
            </w:pPr>
            <w:r w:rsidRPr="007B0654">
              <w:rPr>
                <w:lang w:val="fr-CA"/>
              </w:rPr>
              <w:t>Identifier les préoccupations courantes/urgentes du patient et y répondre</w:t>
            </w:r>
          </w:p>
        </w:tc>
        <w:tc>
          <w:tcPr>
            <w:tcW w:w="3717" w:type="dxa"/>
            <w:vMerge w:val="restart"/>
            <w:tcBorders>
              <w:top w:val="single" w:sz="4" w:space="0" w:color="D0CECE" w:themeColor="background2" w:themeShade="E6"/>
              <w:left w:val="single" w:sz="4" w:space="0" w:color="BFBFBF" w:themeColor="background1" w:themeShade="BF"/>
              <w:right w:val="single" w:sz="4" w:space="0" w:color="BFBFBF" w:themeColor="background1" w:themeShade="BF"/>
            </w:tcBorders>
            <w:tcMar>
              <w:top w:w="14" w:type="dxa"/>
              <w:left w:w="58" w:type="dxa"/>
              <w:bottom w:w="14" w:type="dxa"/>
              <w:right w:w="58" w:type="dxa"/>
            </w:tcMar>
          </w:tcPr>
          <w:p w14:paraId="03394039" w14:textId="77777777" w:rsidR="00CF374F" w:rsidRPr="003470BA" w:rsidRDefault="00CF374F" w:rsidP="00BE3ECD">
            <w:pPr>
              <w:pStyle w:val="NoSpacing"/>
            </w:pPr>
          </w:p>
        </w:tc>
      </w:tr>
      <w:tr w:rsidR="00CF374F" w:rsidRPr="003470BA" w14:paraId="4CA54BA1" w14:textId="77777777" w:rsidTr="00853062">
        <w:trPr>
          <w:trHeight w:val="144"/>
        </w:trPr>
        <w:tc>
          <w:tcPr>
            <w:tcW w:w="727" w:type="dxa"/>
            <w:tcBorders>
              <w:top w:val="single" w:sz="2" w:space="0" w:color="D9D9D9" w:themeColor="background1" w:themeShade="D9"/>
              <w:left w:val="single" w:sz="4" w:space="0" w:color="BFBFBF" w:themeColor="background1" w:themeShade="BF"/>
              <w:bottom w:val="single" w:sz="4" w:space="0" w:color="BFBFBF" w:themeColor="background1" w:themeShade="BF"/>
              <w:right w:val="nil"/>
            </w:tcBorders>
            <w:shd w:val="clear" w:color="auto" w:fill="F2F2F2" w:themeFill="background1" w:themeFillShade="F2"/>
            <w:tcMar>
              <w:top w:w="14" w:type="dxa"/>
              <w:left w:w="58" w:type="dxa"/>
              <w:bottom w:w="14" w:type="dxa"/>
              <w:right w:w="58" w:type="dxa"/>
            </w:tcMar>
            <w:vAlign w:val="center"/>
          </w:tcPr>
          <w:p w14:paraId="363A4680" w14:textId="77777777" w:rsidR="00CF374F" w:rsidRPr="003470BA" w:rsidRDefault="00CF374F" w:rsidP="00C7179F">
            <w:pPr>
              <w:pStyle w:val="NoSpacing"/>
              <w:jc w:val="center"/>
            </w:pPr>
            <w:r w:rsidRPr="003470BA">
              <w:rPr>
                <w:rFonts w:ascii="Segoe UI Symbol" w:hAnsi="Segoe UI Symbol" w:cs="Segoe UI Symbol"/>
              </w:rPr>
              <w:t>☐</w:t>
            </w:r>
          </w:p>
        </w:tc>
        <w:tc>
          <w:tcPr>
            <w:tcW w:w="720" w:type="dxa"/>
            <w:tcBorders>
              <w:top w:val="single" w:sz="2" w:space="0" w:color="D9D9D9" w:themeColor="background1" w:themeShade="D9"/>
              <w:left w:val="nil"/>
              <w:bottom w:val="single" w:sz="4" w:space="0" w:color="BFBFBF" w:themeColor="background1" w:themeShade="BF"/>
              <w:right w:val="single" w:sz="4" w:space="0" w:color="BFBFBF" w:themeColor="background1" w:themeShade="BF"/>
            </w:tcBorders>
            <w:tcMar>
              <w:top w:w="14" w:type="dxa"/>
              <w:left w:w="58" w:type="dxa"/>
              <w:bottom w:w="14" w:type="dxa"/>
              <w:right w:w="58" w:type="dxa"/>
            </w:tcMar>
            <w:vAlign w:val="center"/>
          </w:tcPr>
          <w:p w14:paraId="74AF67BA" w14:textId="77777777" w:rsidR="00CF374F" w:rsidRPr="003470BA" w:rsidRDefault="00CF374F" w:rsidP="00C7179F">
            <w:pPr>
              <w:pStyle w:val="NoSpacing"/>
              <w:jc w:val="center"/>
            </w:pPr>
            <w:r w:rsidRPr="003470BA">
              <w:rPr>
                <w:rFonts w:ascii="Segoe UI Symbol" w:hAnsi="Segoe UI Symbol" w:cs="Segoe UI Symbol"/>
              </w:rPr>
              <w:t>☐</w:t>
            </w:r>
          </w:p>
        </w:tc>
        <w:tc>
          <w:tcPr>
            <w:tcW w:w="5641" w:type="dxa"/>
            <w:tcBorders>
              <w:top w:val="single" w:sz="2"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tcMar>
              <w:top w:w="14" w:type="dxa"/>
              <w:left w:w="58" w:type="dxa"/>
              <w:bottom w:w="14" w:type="dxa"/>
              <w:right w:w="58" w:type="dxa"/>
            </w:tcMar>
            <w:vAlign w:val="center"/>
          </w:tcPr>
          <w:p w14:paraId="082B3280" w14:textId="77777777" w:rsidR="00CF374F" w:rsidRPr="007B0654" w:rsidRDefault="00CF374F" w:rsidP="00C7179F">
            <w:pPr>
              <w:pStyle w:val="NoSpacing"/>
              <w:rPr>
                <w:lang w:val="fr-CA"/>
              </w:rPr>
            </w:pPr>
            <w:r w:rsidRPr="007B0654">
              <w:rPr>
                <w:lang w:val="fr-CA"/>
              </w:rPr>
              <w:t>Introduire les questionnaires</w:t>
            </w:r>
            <w:r w:rsidRPr="003470BA">
              <w:rPr>
                <w:rStyle w:val="EndnoteReference"/>
              </w:rPr>
              <w:endnoteReference w:id="2"/>
            </w:r>
          </w:p>
        </w:tc>
        <w:tc>
          <w:tcPr>
            <w:tcW w:w="371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Mar>
              <w:top w:w="14" w:type="dxa"/>
              <w:left w:w="58" w:type="dxa"/>
              <w:bottom w:w="14" w:type="dxa"/>
              <w:right w:w="58" w:type="dxa"/>
            </w:tcMar>
          </w:tcPr>
          <w:p w14:paraId="7C3D0993" w14:textId="77777777" w:rsidR="00CF374F" w:rsidRPr="003470BA" w:rsidRDefault="00CF374F" w:rsidP="00C7179F">
            <w:pPr>
              <w:pStyle w:val="NoSpacing"/>
            </w:pPr>
          </w:p>
        </w:tc>
      </w:tr>
    </w:tbl>
    <w:p w14:paraId="449A1702" w14:textId="77777777" w:rsidR="006B5AD2" w:rsidRDefault="006B5AD2" w:rsidP="00171C02">
      <w:pPr>
        <w:pStyle w:val="NoSpacing"/>
        <w:jc w:val="center"/>
        <w:rPr>
          <w:rFonts w:ascii="Segoe UI Symbol" w:hAnsi="Segoe UI Symbol" w:cs="Segoe UI Symbol"/>
        </w:rPr>
        <w:sectPr w:rsidR="006B5AD2" w:rsidSect="006B5AD2">
          <w:footerReference w:type="default" r:id="rId13"/>
          <w:footerReference w:type="first" r:id="rId14"/>
          <w:endnotePr>
            <w:numFmt w:val="decimal"/>
          </w:endnotePr>
          <w:type w:val="continuous"/>
          <w:pgSz w:w="12240" w:h="15840"/>
          <w:pgMar w:top="851" w:right="540" w:bottom="1418" w:left="720" w:header="432" w:footer="564" w:gutter="0"/>
          <w:pgNumType w:fmt="lowerRoman" w:start="1"/>
          <w:cols w:space="708"/>
          <w:titlePg/>
          <w:docGrid w:linePitch="360"/>
        </w:sectPr>
      </w:pPr>
    </w:p>
    <w:bookmarkEnd w:id="4"/>
    <w:p w14:paraId="521F0DA5" w14:textId="31F283E8" w:rsidR="007B3962" w:rsidRPr="008656D7" w:rsidRDefault="007B0654" w:rsidP="00CF374F">
      <w:pPr>
        <w:pStyle w:val="H2"/>
        <w:spacing w:before="0"/>
        <w:rPr>
          <w:rStyle w:val="H2-Subheading"/>
          <w:b w:val="0"/>
          <w:bCs w:val="0"/>
        </w:rPr>
      </w:pPr>
      <w:r w:rsidRPr="007B0654">
        <w:rPr>
          <w:lang w:val="fr-CA"/>
        </w:rPr>
        <w:t>É</w:t>
      </w:r>
      <w:r>
        <w:rPr>
          <w:lang w:val="fr-CA"/>
        </w:rPr>
        <w:t>tape</w:t>
      </w:r>
      <w:r w:rsidRPr="007B0654">
        <w:rPr>
          <w:lang w:val="fr-CA"/>
        </w:rPr>
        <w:t xml:space="preserve"> </w:t>
      </w:r>
      <w:r w:rsidR="007B3962" w:rsidRPr="009979B4">
        <w:t>2</w:t>
      </w:r>
      <w:r w:rsidR="008656D7">
        <w:t xml:space="preserve">: </w:t>
      </w:r>
      <w:r w:rsidRPr="007B0654">
        <w:rPr>
          <w:rFonts w:ascii="Lato" w:hAnsi="Lato"/>
          <w:b w:val="0"/>
          <w:bCs w:val="0"/>
          <w:lang w:val="fr-CA"/>
        </w:rPr>
        <w:t>Profile Cumulatif du Patient (PCP) relatif aux DID</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single" w:sz="2" w:space="0" w:color="D9D9D9" w:themeColor="background1" w:themeShade="D9"/>
        </w:tblBorders>
        <w:tblLayout w:type="fixed"/>
        <w:tblCellMar>
          <w:top w:w="14" w:type="dxa"/>
          <w:left w:w="144" w:type="dxa"/>
          <w:bottom w:w="14" w:type="dxa"/>
          <w:right w:w="58" w:type="dxa"/>
        </w:tblCellMar>
        <w:tblLook w:val="04A0" w:firstRow="1" w:lastRow="0" w:firstColumn="1" w:lastColumn="0" w:noHBand="0" w:noVBand="1"/>
      </w:tblPr>
      <w:tblGrid>
        <w:gridCol w:w="714"/>
        <w:gridCol w:w="714"/>
        <w:gridCol w:w="5655"/>
        <w:gridCol w:w="3712"/>
      </w:tblGrid>
      <w:tr w:rsidR="008A5940" w:rsidRPr="003470BA" w14:paraId="53388F38" w14:textId="77777777" w:rsidTr="0057474E">
        <w:trPr>
          <w:trHeight w:val="288"/>
        </w:trPr>
        <w:tc>
          <w:tcPr>
            <w:tcW w:w="714"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tcMar>
              <w:top w:w="14" w:type="dxa"/>
              <w:left w:w="43" w:type="dxa"/>
              <w:bottom w:w="14" w:type="dxa"/>
              <w:right w:w="43" w:type="dxa"/>
            </w:tcMar>
            <w:vAlign w:val="center"/>
          </w:tcPr>
          <w:p w14:paraId="297759F9" w14:textId="131F4C5A" w:rsidR="008A5940" w:rsidRPr="003470BA" w:rsidRDefault="007D02AA" w:rsidP="00171C02">
            <w:pPr>
              <w:pStyle w:val="H3"/>
              <w:jc w:val="center"/>
            </w:pPr>
            <w:r>
              <w:t>1</w:t>
            </w:r>
            <w:r w:rsidRPr="007D02AA">
              <w:rPr>
                <w:vertAlign w:val="superscript"/>
              </w:rPr>
              <w:t>re</w:t>
            </w:r>
            <w:r>
              <w:t xml:space="preserve"> </w:t>
            </w:r>
            <w:proofErr w:type="spellStart"/>
            <w:r w:rsidRPr="007D02AA">
              <w:t>année</w:t>
            </w:r>
            <w:proofErr w:type="spellEnd"/>
          </w:p>
        </w:tc>
        <w:tc>
          <w:tcPr>
            <w:tcW w:w="714" w:type="dxa"/>
            <w:tcBorders>
              <w:top w:val="single" w:sz="4" w:space="0" w:color="BFBFBF" w:themeColor="background1" w:themeShade="BF"/>
              <w:left w:val="nil"/>
              <w:bottom w:val="nil"/>
              <w:right w:val="single" w:sz="4" w:space="0" w:color="BFBFBF" w:themeColor="background1" w:themeShade="BF"/>
            </w:tcBorders>
            <w:tcMar>
              <w:top w:w="14" w:type="dxa"/>
              <w:left w:w="58" w:type="dxa"/>
              <w:bottom w:w="14" w:type="dxa"/>
              <w:right w:w="58" w:type="dxa"/>
            </w:tcMar>
            <w:vAlign w:val="center"/>
          </w:tcPr>
          <w:p w14:paraId="62C35E67" w14:textId="5154D7AF" w:rsidR="008A5940" w:rsidRPr="003470BA" w:rsidRDefault="007D02AA" w:rsidP="00171C02">
            <w:pPr>
              <w:pStyle w:val="H3"/>
              <w:jc w:val="center"/>
            </w:pPr>
            <w:r>
              <w:t>2</w:t>
            </w:r>
            <w:r w:rsidRPr="007D02AA">
              <w:rPr>
                <w:vertAlign w:val="superscript"/>
              </w:rPr>
              <w:t>e</w:t>
            </w:r>
            <w:r>
              <w:t xml:space="preserve"> </w:t>
            </w:r>
            <w:proofErr w:type="spellStart"/>
            <w:r w:rsidRPr="007D02AA">
              <w:t>année</w:t>
            </w:r>
            <w:proofErr w:type="spellEnd"/>
          </w:p>
        </w:tc>
        <w:tc>
          <w:tcPr>
            <w:tcW w:w="9367" w:type="dxa"/>
            <w:gridSpan w:val="2"/>
            <w:tcBorders>
              <w:top w:val="nil"/>
              <w:left w:val="single" w:sz="4" w:space="0" w:color="BFBFBF" w:themeColor="background1" w:themeShade="BF"/>
              <w:bottom w:val="single" w:sz="4" w:space="0" w:color="BFBFBF" w:themeColor="background1" w:themeShade="BF"/>
              <w:right w:val="nil"/>
            </w:tcBorders>
            <w:tcMar>
              <w:top w:w="14" w:type="dxa"/>
              <w:left w:w="58" w:type="dxa"/>
              <w:bottom w:w="14" w:type="dxa"/>
            </w:tcMar>
            <w:vAlign w:val="center"/>
          </w:tcPr>
          <w:p w14:paraId="1143058C" w14:textId="77777777" w:rsidR="008A5940" w:rsidRPr="003470BA" w:rsidRDefault="008A5940" w:rsidP="00BE3ECD">
            <w:pPr>
              <w:pStyle w:val="NoSpacing"/>
            </w:pPr>
          </w:p>
        </w:tc>
      </w:tr>
      <w:tr w:rsidR="007B3962" w:rsidRPr="003470BA" w14:paraId="6FA23822" w14:textId="77777777" w:rsidTr="00CF374F">
        <w:trPr>
          <w:trHeight w:val="187"/>
        </w:trPr>
        <w:tc>
          <w:tcPr>
            <w:tcW w:w="714" w:type="dxa"/>
            <w:tcBorders>
              <w:top w:val="nil"/>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43" w:type="dxa"/>
              <w:bottom w:w="14" w:type="dxa"/>
              <w:right w:w="43" w:type="dxa"/>
            </w:tcMar>
            <w:vAlign w:val="bottom"/>
          </w:tcPr>
          <w:p w14:paraId="3BDB3C7F" w14:textId="603C79CA" w:rsidR="007B3962" w:rsidRPr="003470BA" w:rsidRDefault="00D27C4F" w:rsidP="00D27C4F">
            <w:pPr>
              <w:pStyle w:val="TableHeaders"/>
              <w:jc w:val="center"/>
            </w:pPr>
            <w:proofErr w:type="spellStart"/>
            <w:r w:rsidRPr="00D27C4F">
              <w:t>Révisé</w:t>
            </w:r>
            <w:proofErr w:type="spellEnd"/>
          </w:p>
        </w:tc>
        <w:tc>
          <w:tcPr>
            <w:tcW w:w="714" w:type="dxa"/>
            <w:tcBorders>
              <w:top w:val="nil"/>
              <w:left w:val="nil"/>
              <w:bottom w:val="single" w:sz="2" w:space="0" w:color="D9D9D9" w:themeColor="background1" w:themeShade="D9"/>
              <w:right w:val="dotted" w:sz="8" w:space="0" w:color="BFBFBF" w:themeColor="background1" w:themeShade="BF"/>
            </w:tcBorders>
            <w:tcMar>
              <w:top w:w="14" w:type="dxa"/>
              <w:left w:w="58" w:type="dxa"/>
              <w:bottom w:w="14" w:type="dxa"/>
              <w:right w:w="58" w:type="dxa"/>
            </w:tcMar>
            <w:vAlign w:val="center"/>
          </w:tcPr>
          <w:p w14:paraId="64ACB637" w14:textId="0ACE6A8D" w:rsidR="007B3962" w:rsidRPr="003470BA" w:rsidRDefault="00D27C4F" w:rsidP="00314E04">
            <w:pPr>
              <w:pStyle w:val="TableHeaders"/>
              <w:jc w:val="center"/>
            </w:pPr>
            <w:proofErr w:type="spellStart"/>
            <w:r w:rsidRPr="00D27C4F">
              <w:t>Révisé</w:t>
            </w:r>
            <w:proofErr w:type="spellEnd"/>
          </w:p>
        </w:tc>
        <w:tc>
          <w:tcPr>
            <w:tcW w:w="5655" w:type="dxa"/>
            <w:tcBorders>
              <w:top w:val="single" w:sz="4" w:space="0" w:color="BFBFBF" w:themeColor="background1" w:themeShade="BF"/>
              <w:left w:val="dotted" w:sz="8"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tcMar>
            <w:vAlign w:val="center"/>
          </w:tcPr>
          <w:p w14:paraId="746F540D" w14:textId="72A3C0EC" w:rsidR="007B3962" w:rsidRPr="003470BA" w:rsidRDefault="000D3302" w:rsidP="00314E04">
            <w:pPr>
              <w:pStyle w:val="TableHeaders"/>
            </w:pPr>
            <w:r>
              <w:t>Patient Profile</w:t>
            </w:r>
          </w:p>
        </w:tc>
        <w:tc>
          <w:tcPr>
            <w:tcW w:w="3712" w:type="dxa"/>
            <w:tcBorders>
              <w:top w:val="single" w:sz="4" w:space="0" w:color="BFBFBF" w:themeColor="background1" w:themeShade="BF"/>
              <w:left w:val="single" w:sz="4" w:space="0" w:color="BFBFBF" w:themeColor="background1" w:themeShade="BF"/>
              <w:bottom w:val="single" w:sz="4" w:space="0" w:color="D0CECE" w:themeColor="background2" w:themeShade="E6"/>
              <w:right w:val="single" w:sz="4" w:space="0" w:color="BFBFBF" w:themeColor="background1" w:themeShade="BF"/>
            </w:tcBorders>
            <w:tcMar>
              <w:top w:w="14" w:type="dxa"/>
              <w:left w:w="58" w:type="dxa"/>
              <w:bottom w:w="14" w:type="dxa"/>
            </w:tcMar>
            <w:vAlign w:val="center"/>
          </w:tcPr>
          <w:p w14:paraId="50D75344" w14:textId="174D76E7" w:rsidR="007B3962" w:rsidRPr="003470BA" w:rsidRDefault="000C277B" w:rsidP="00314E04">
            <w:pPr>
              <w:pStyle w:val="TableHeaders"/>
            </w:pPr>
            <w:r w:rsidRPr="000C277B">
              <w:t>Remarques</w:t>
            </w:r>
          </w:p>
        </w:tc>
      </w:tr>
      <w:tr w:rsidR="005D10B3" w:rsidRPr="003470BA" w14:paraId="341F86DD" w14:textId="77777777" w:rsidTr="00CF374F">
        <w:trPr>
          <w:trHeight w:val="144"/>
        </w:trPr>
        <w:tc>
          <w:tcPr>
            <w:tcW w:w="714" w:type="dxa"/>
            <w:tcBorders>
              <w:top w:val="single" w:sz="2" w:space="0" w:color="D9D9D9" w:themeColor="background1" w:themeShade="D9"/>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43" w:type="dxa"/>
              <w:bottom w:w="14" w:type="dxa"/>
              <w:right w:w="43" w:type="dxa"/>
            </w:tcMar>
            <w:vAlign w:val="center"/>
          </w:tcPr>
          <w:p w14:paraId="3D5067CA" w14:textId="77777777" w:rsidR="005D10B3" w:rsidRPr="003470BA" w:rsidRDefault="005D10B3" w:rsidP="00171C02">
            <w:pPr>
              <w:pStyle w:val="NoSpacing"/>
              <w:jc w:val="center"/>
            </w:pPr>
            <w:r w:rsidRPr="003470BA">
              <w:rPr>
                <w:rFonts w:ascii="Segoe UI Symbol" w:hAnsi="Segoe UI Symbol" w:cs="Segoe UI Symbol"/>
              </w:rPr>
              <w:t>☐</w:t>
            </w:r>
          </w:p>
        </w:tc>
        <w:tc>
          <w:tcPr>
            <w:tcW w:w="714" w:type="dxa"/>
            <w:tcBorders>
              <w:top w:val="single" w:sz="2" w:space="0" w:color="D9D9D9" w:themeColor="background1" w:themeShade="D9"/>
              <w:left w:val="nil"/>
              <w:bottom w:val="single" w:sz="2" w:space="0" w:color="D9D9D9" w:themeColor="background1" w:themeShade="D9"/>
              <w:right w:val="dotted" w:sz="8" w:space="0" w:color="BFBFBF" w:themeColor="background1" w:themeShade="BF"/>
            </w:tcBorders>
            <w:tcMar>
              <w:top w:w="14" w:type="dxa"/>
              <w:left w:w="58" w:type="dxa"/>
              <w:bottom w:w="14" w:type="dxa"/>
              <w:right w:w="58" w:type="dxa"/>
            </w:tcMar>
            <w:vAlign w:val="center"/>
          </w:tcPr>
          <w:p w14:paraId="50AA788A" w14:textId="77777777" w:rsidR="005D10B3" w:rsidRPr="003470BA" w:rsidRDefault="005D10B3" w:rsidP="00171C02">
            <w:pPr>
              <w:pStyle w:val="NoSpacing"/>
              <w:jc w:val="center"/>
            </w:pPr>
            <w:r w:rsidRPr="003470BA">
              <w:rPr>
                <w:rFonts w:ascii="Segoe UI Symbol" w:hAnsi="Segoe UI Symbol" w:cs="Segoe UI Symbol"/>
              </w:rPr>
              <w:t>☐</w:t>
            </w:r>
          </w:p>
        </w:tc>
        <w:tc>
          <w:tcPr>
            <w:tcW w:w="5655" w:type="dxa"/>
            <w:tcBorders>
              <w:top w:val="single" w:sz="2" w:space="0" w:color="D9D9D9" w:themeColor="background1" w:themeShade="D9"/>
              <w:left w:val="dotted" w:sz="8"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tcMar>
            <w:vAlign w:val="center"/>
          </w:tcPr>
          <w:p w14:paraId="36DF1CE7" w14:textId="1A2A3F59" w:rsidR="005D10B3" w:rsidRPr="007B0654" w:rsidRDefault="007B0654" w:rsidP="00BE3ECD">
            <w:pPr>
              <w:pStyle w:val="NoSpacing"/>
              <w:rPr>
                <w:lang w:val="fr-CA"/>
              </w:rPr>
            </w:pPr>
            <w:r w:rsidRPr="007B0654">
              <w:rPr>
                <w:lang w:val="fr-CA"/>
              </w:rPr>
              <w:t>Communication, vie quotidienne</w:t>
            </w:r>
            <w:r w:rsidR="005D10B3" w:rsidRPr="003470BA">
              <w:rPr>
                <w:rStyle w:val="EndnoteReference"/>
              </w:rPr>
              <w:endnoteReference w:id="3"/>
            </w:r>
            <w:r w:rsidR="005D10B3" w:rsidRPr="003470BA">
              <w:t xml:space="preserve"> </w:t>
            </w:r>
          </w:p>
        </w:tc>
        <w:tc>
          <w:tcPr>
            <w:tcW w:w="3712" w:type="dxa"/>
            <w:vMerge w:val="restart"/>
            <w:tcBorders>
              <w:top w:val="single" w:sz="4" w:space="0" w:color="D0CECE" w:themeColor="background2" w:themeShade="E6"/>
              <w:left w:val="single" w:sz="4" w:space="0" w:color="BFBFBF" w:themeColor="background1" w:themeShade="BF"/>
              <w:right w:val="single" w:sz="4" w:space="0" w:color="BFBFBF" w:themeColor="background1" w:themeShade="BF"/>
            </w:tcBorders>
            <w:tcMar>
              <w:top w:w="14" w:type="dxa"/>
              <w:left w:w="58" w:type="dxa"/>
              <w:bottom w:w="14" w:type="dxa"/>
            </w:tcMar>
          </w:tcPr>
          <w:p w14:paraId="28648A6F" w14:textId="77777777" w:rsidR="005D10B3" w:rsidRPr="003470BA" w:rsidRDefault="005D10B3" w:rsidP="00BE3ECD">
            <w:pPr>
              <w:pStyle w:val="NoSpacing"/>
            </w:pPr>
          </w:p>
        </w:tc>
      </w:tr>
      <w:tr w:rsidR="005D10B3" w:rsidRPr="003470BA" w14:paraId="191C69B1" w14:textId="77777777" w:rsidTr="00047872">
        <w:trPr>
          <w:trHeight w:val="144"/>
        </w:trPr>
        <w:tc>
          <w:tcPr>
            <w:tcW w:w="714" w:type="dxa"/>
            <w:tcBorders>
              <w:top w:val="single" w:sz="2" w:space="0" w:color="D9D9D9" w:themeColor="background1" w:themeShade="D9"/>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43" w:type="dxa"/>
              <w:bottom w:w="14" w:type="dxa"/>
              <w:right w:w="43" w:type="dxa"/>
            </w:tcMar>
            <w:vAlign w:val="center"/>
          </w:tcPr>
          <w:p w14:paraId="1205D885" w14:textId="613383F2" w:rsidR="005D10B3" w:rsidRPr="003470BA" w:rsidRDefault="005D10B3" w:rsidP="00171C02">
            <w:pPr>
              <w:pStyle w:val="NoSpacing"/>
              <w:jc w:val="center"/>
            </w:pPr>
            <w:r w:rsidRPr="003470BA">
              <w:rPr>
                <w:rFonts w:ascii="Segoe UI Symbol" w:hAnsi="Segoe UI Symbol" w:cs="Segoe UI Symbol"/>
              </w:rPr>
              <w:t>☐</w:t>
            </w:r>
          </w:p>
        </w:tc>
        <w:tc>
          <w:tcPr>
            <w:tcW w:w="714" w:type="dxa"/>
            <w:tcBorders>
              <w:top w:val="single" w:sz="2" w:space="0" w:color="D9D9D9" w:themeColor="background1" w:themeShade="D9"/>
              <w:left w:val="nil"/>
              <w:bottom w:val="single" w:sz="2" w:space="0" w:color="D9D9D9" w:themeColor="background1" w:themeShade="D9"/>
              <w:right w:val="dotted" w:sz="8" w:space="0" w:color="BFBFBF" w:themeColor="background1" w:themeShade="BF"/>
            </w:tcBorders>
            <w:tcMar>
              <w:top w:w="14" w:type="dxa"/>
              <w:left w:w="58" w:type="dxa"/>
              <w:bottom w:w="14" w:type="dxa"/>
              <w:right w:w="58" w:type="dxa"/>
            </w:tcMar>
            <w:vAlign w:val="center"/>
          </w:tcPr>
          <w:p w14:paraId="055015C0" w14:textId="1059CB76" w:rsidR="005D10B3" w:rsidRPr="003470BA" w:rsidRDefault="005D10B3" w:rsidP="00171C02">
            <w:pPr>
              <w:pStyle w:val="NoSpacing"/>
              <w:jc w:val="center"/>
            </w:pPr>
            <w:r w:rsidRPr="003470BA">
              <w:rPr>
                <w:rFonts w:ascii="Segoe UI Symbol" w:hAnsi="Segoe UI Symbol" w:cs="Segoe UI Symbol"/>
              </w:rPr>
              <w:t>☐</w:t>
            </w:r>
          </w:p>
        </w:tc>
        <w:tc>
          <w:tcPr>
            <w:tcW w:w="5655" w:type="dxa"/>
            <w:tcBorders>
              <w:top w:val="single" w:sz="2" w:space="0" w:color="D9D9D9" w:themeColor="background1" w:themeShade="D9"/>
              <w:left w:val="dotted" w:sz="8"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tcMar>
            <w:vAlign w:val="center"/>
          </w:tcPr>
          <w:p w14:paraId="6C5F1966" w14:textId="12636615" w:rsidR="005D10B3" w:rsidRPr="007B0654" w:rsidRDefault="007B0654" w:rsidP="00BE3ECD">
            <w:pPr>
              <w:pStyle w:val="NoSpacing"/>
              <w:rPr>
                <w:lang w:val="fr-CA"/>
              </w:rPr>
            </w:pPr>
            <w:r w:rsidRPr="007B0654">
              <w:rPr>
                <w:lang w:val="fr-CA"/>
              </w:rPr>
              <w:t>Cause/condition associée à la déficience intellectuelle (DI)</w:t>
            </w:r>
            <w:r w:rsidR="005D10B3" w:rsidRPr="003470BA">
              <w:rPr>
                <w:rStyle w:val="EndnoteReference"/>
              </w:rPr>
              <w:endnoteReference w:id="4"/>
            </w:r>
          </w:p>
        </w:tc>
        <w:tc>
          <w:tcPr>
            <w:tcW w:w="3712" w:type="dxa"/>
            <w:vMerge/>
            <w:tcBorders>
              <w:left w:val="single" w:sz="4" w:space="0" w:color="BFBFBF" w:themeColor="background1" w:themeShade="BF"/>
              <w:right w:val="single" w:sz="4" w:space="0" w:color="BFBFBF" w:themeColor="background1" w:themeShade="BF"/>
            </w:tcBorders>
            <w:tcMar>
              <w:top w:w="14" w:type="dxa"/>
              <w:left w:w="58" w:type="dxa"/>
              <w:bottom w:w="14" w:type="dxa"/>
            </w:tcMar>
          </w:tcPr>
          <w:p w14:paraId="175E562B" w14:textId="77777777" w:rsidR="005D10B3" w:rsidRPr="003470BA" w:rsidRDefault="005D10B3" w:rsidP="00BE3ECD">
            <w:pPr>
              <w:pStyle w:val="NoSpacing"/>
            </w:pPr>
          </w:p>
        </w:tc>
      </w:tr>
      <w:tr w:rsidR="005D10B3" w:rsidRPr="003470BA" w14:paraId="1CD46DA8" w14:textId="77777777" w:rsidTr="00047872">
        <w:trPr>
          <w:trHeight w:val="144"/>
        </w:trPr>
        <w:tc>
          <w:tcPr>
            <w:tcW w:w="714" w:type="dxa"/>
            <w:tcBorders>
              <w:top w:val="single" w:sz="2" w:space="0" w:color="D9D9D9" w:themeColor="background1" w:themeShade="D9"/>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43" w:type="dxa"/>
              <w:bottom w:w="14" w:type="dxa"/>
              <w:right w:w="43" w:type="dxa"/>
            </w:tcMar>
            <w:vAlign w:val="center"/>
          </w:tcPr>
          <w:p w14:paraId="7AD578CE" w14:textId="5FDF1A99" w:rsidR="005D10B3" w:rsidRPr="003470BA" w:rsidRDefault="005D10B3" w:rsidP="00171C02">
            <w:pPr>
              <w:pStyle w:val="NoSpacing"/>
              <w:jc w:val="center"/>
            </w:pPr>
            <w:r w:rsidRPr="003470BA">
              <w:rPr>
                <w:rFonts w:ascii="Segoe UI Symbol" w:hAnsi="Segoe UI Symbol" w:cs="Segoe UI Symbol"/>
              </w:rPr>
              <w:t>☐</w:t>
            </w:r>
          </w:p>
        </w:tc>
        <w:tc>
          <w:tcPr>
            <w:tcW w:w="714" w:type="dxa"/>
            <w:tcBorders>
              <w:top w:val="single" w:sz="2" w:space="0" w:color="D9D9D9" w:themeColor="background1" w:themeShade="D9"/>
              <w:left w:val="nil"/>
              <w:bottom w:val="single" w:sz="2" w:space="0" w:color="D9D9D9" w:themeColor="background1" w:themeShade="D9"/>
              <w:right w:val="dotted" w:sz="8" w:space="0" w:color="BFBFBF" w:themeColor="background1" w:themeShade="BF"/>
            </w:tcBorders>
            <w:tcMar>
              <w:top w:w="14" w:type="dxa"/>
              <w:left w:w="58" w:type="dxa"/>
              <w:bottom w:w="14" w:type="dxa"/>
              <w:right w:w="58" w:type="dxa"/>
            </w:tcMar>
            <w:vAlign w:val="center"/>
          </w:tcPr>
          <w:p w14:paraId="6A88637B" w14:textId="0D0C4A49" w:rsidR="005D10B3" w:rsidRPr="003470BA" w:rsidRDefault="005D10B3" w:rsidP="00171C02">
            <w:pPr>
              <w:pStyle w:val="NoSpacing"/>
              <w:jc w:val="center"/>
            </w:pPr>
            <w:r w:rsidRPr="003470BA">
              <w:rPr>
                <w:rFonts w:ascii="Segoe UI Symbol" w:hAnsi="Segoe UI Symbol" w:cs="Segoe UI Symbol"/>
              </w:rPr>
              <w:t>☐</w:t>
            </w:r>
          </w:p>
        </w:tc>
        <w:tc>
          <w:tcPr>
            <w:tcW w:w="5655" w:type="dxa"/>
            <w:tcBorders>
              <w:top w:val="single" w:sz="2" w:space="0" w:color="D9D9D9" w:themeColor="background1" w:themeShade="D9"/>
              <w:left w:val="dotted" w:sz="8"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tcMar>
            <w:vAlign w:val="center"/>
          </w:tcPr>
          <w:p w14:paraId="0D5D4E36" w14:textId="420DA6E5" w:rsidR="005D10B3" w:rsidRPr="007B0654" w:rsidRDefault="007B0654" w:rsidP="00BE3ECD">
            <w:pPr>
              <w:pStyle w:val="NoSpacing"/>
              <w:rPr>
                <w:lang w:val="fr-CA"/>
              </w:rPr>
            </w:pPr>
            <w:r w:rsidRPr="007B0654">
              <w:rPr>
                <w:lang w:val="fr-CA"/>
              </w:rPr>
              <w:t>Soutien communautaire et social</w:t>
            </w:r>
            <w:r w:rsidR="005D10B3" w:rsidRPr="003470BA">
              <w:rPr>
                <w:rStyle w:val="EndnoteReference"/>
              </w:rPr>
              <w:endnoteReference w:id="5"/>
            </w:r>
          </w:p>
        </w:tc>
        <w:tc>
          <w:tcPr>
            <w:tcW w:w="3712" w:type="dxa"/>
            <w:vMerge/>
            <w:tcBorders>
              <w:left w:val="single" w:sz="4" w:space="0" w:color="BFBFBF" w:themeColor="background1" w:themeShade="BF"/>
              <w:right w:val="single" w:sz="4" w:space="0" w:color="BFBFBF" w:themeColor="background1" w:themeShade="BF"/>
            </w:tcBorders>
            <w:tcMar>
              <w:top w:w="14" w:type="dxa"/>
              <w:left w:w="58" w:type="dxa"/>
              <w:bottom w:w="14" w:type="dxa"/>
            </w:tcMar>
          </w:tcPr>
          <w:p w14:paraId="4F8E3001" w14:textId="77777777" w:rsidR="005D10B3" w:rsidRPr="003470BA" w:rsidRDefault="005D10B3" w:rsidP="00BE3ECD">
            <w:pPr>
              <w:pStyle w:val="NoSpacing"/>
            </w:pPr>
          </w:p>
        </w:tc>
      </w:tr>
      <w:tr w:rsidR="005D10B3" w:rsidRPr="003470BA" w14:paraId="2E8895A5" w14:textId="77777777" w:rsidTr="00047872">
        <w:trPr>
          <w:trHeight w:val="144"/>
        </w:trPr>
        <w:tc>
          <w:tcPr>
            <w:tcW w:w="714" w:type="dxa"/>
            <w:tcBorders>
              <w:top w:val="single" w:sz="2" w:space="0" w:color="D9D9D9" w:themeColor="background1" w:themeShade="D9"/>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14" w:type="dxa"/>
              <w:left w:w="43" w:type="dxa"/>
              <w:bottom w:w="14" w:type="dxa"/>
              <w:right w:w="43" w:type="dxa"/>
            </w:tcMar>
            <w:vAlign w:val="center"/>
          </w:tcPr>
          <w:p w14:paraId="6A312253" w14:textId="2B8A78CF" w:rsidR="005D10B3" w:rsidRPr="003470BA" w:rsidRDefault="005D10B3" w:rsidP="00171C02">
            <w:pPr>
              <w:pStyle w:val="NoSpacing"/>
              <w:jc w:val="center"/>
            </w:pPr>
            <w:r w:rsidRPr="003470BA">
              <w:rPr>
                <w:rFonts w:ascii="Segoe UI Symbol" w:hAnsi="Segoe UI Symbol" w:cs="Segoe UI Symbol"/>
              </w:rPr>
              <w:t>☐</w:t>
            </w:r>
          </w:p>
        </w:tc>
        <w:tc>
          <w:tcPr>
            <w:tcW w:w="714" w:type="dxa"/>
            <w:tcBorders>
              <w:top w:val="single" w:sz="2" w:space="0" w:color="D9D9D9" w:themeColor="background1" w:themeShade="D9"/>
              <w:left w:val="nil"/>
              <w:bottom w:val="single" w:sz="2" w:space="0" w:color="D9D9D9" w:themeColor="background1" w:themeShade="D9"/>
              <w:right w:val="dotted" w:sz="8" w:space="0" w:color="BFBFBF" w:themeColor="background1" w:themeShade="BF"/>
            </w:tcBorders>
            <w:tcMar>
              <w:top w:w="14" w:type="dxa"/>
              <w:left w:w="58" w:type="dxa"/>
              <w:bottom w:w="14" w:type="dxa"/>
              <w:right w:w="58" w:type="dxa"/>
            </w:tcMar>
            <w:vAlign w:val="center"/>
          </w:tcPr>
          <w:p w14:paraId="79FEB812" w14:textId="7A497011" w:rsidR="005D10B3" w:rsidRPr="003470BA" w:rsidRDefault="005D10B3" w:rsidP="00171C02">
            <w:pPr>
              <w:pStyle w:val="NoSpacing"/>
              <w:jc w:val="center"/>
            </w:pPr>
            <w:r w:rsidRPr="003470BA">
              <w:rPr>
                <w:rFonts w:ascii="Segoe UI Symbol" w:hAnsi="Segoe UI Symbol" w:cs="Segoe UI Symbol"/>
              </w:rPr>
              <w:t>☐</w:t>
            </w:r>
          </w:p>
        </w:tc>
        <w:tc>
          <w:tcPr>
            <w:tcW w:w="5655" w:type="dxa"/>
            <w:tcBorders>
              <w:top w:val="single" w:sz="2" w:space="0" w:color="D9D9D9" w:themeColor="background1" w:themeShade="D9"/>
              <w:left w:val="dotted" w:sz="8" w:space="0" w:color="BFBFBF" w:themeColor="background1" w:themeShade="BF"/>
              <w:bottom w:val="single" w:sz="2" w:space="0" w:color="D9D9D9" w:themeColor="background1" w:themeShade="D9"/>
              <w:right w:val="single" w:sz="4" w:space="0" w:color="BFBFBF" w:themeColor="background1" w:themeShade="BF"/>
            </w:tcBorders>
            <w:tcMar>
              <w:top w:w="14" w:type="dxa"/>
              <w:left w:w="58" w:type="dxa"/>
              <w:bottom w:w="14" w:type="dxa"/>
            </w:tcMar>
            <w:vAlign w:val="center"/>
          </w:tcPr>
          <w:p w14:paraId="3BE87649" w14:textId="5E56231E" w:rsidR="005D10B3" w:rsidRPr="007B0654" w:rsidRDefault="007B0654" w:rsidP="00BE3ECD">
            <w:pPr>
              <w:pStyle w:val="NoSpacing"/>
              <w:rPr>
                <w:lang w:val="fr-CA"/>
              </w:rPr>
            </w:pPr>
            <w:r w:rsidRPr="007B0654">
              <w:rPr>
                <w:lang w:val="fr-CA"/>
              </w:rPr>
              <w:t>Accommodations pour faciliter les rencontres</w:t>
            </w:r>
            <w:r w:rsidR="005D10B3" w:rsidRPr="003470BA">
              <w:rPr>
                <w:rStyle w:val="EndnoteReference"/>
              </w:rPr>
              <w:endnoteReference w:id="6"/>
            </w:r>
          </w:p>
        </w:tc>
        <w:tc>
          <w:tcPr>
            <w:tcW w:w="3712" w:type="dxa"/>
            <w:vMerge/>
            <w:tcBorders>
              <w:left w:val="single" w:sz="4" w:space="0" w:color="BFBFBF" w:themeColor="background1" w:themeShade="BF"/>
              <w:right w:val="single" w:sz="4" w:space="0" w:color="BFBFBF" w:themeColor="background1" w:themeShade="BF"/>
            </w:tcBorders>
            <w:tcMar>
              <w:top w:w="14" w:type="dxa"/>
              <w:left w:w="58" w:type="dxa"/>
              <w:bottom w:w="14" w:type="dxa"/>
            </w:tcMar>
          </w:tcPr>
          <w:p w14:paraId="600EB026" w14:textId="77777777" w:rsidR="005D10B3" w:rsidRPr="003470BA" w:rsidRDefault="005D10B3" w:rsidP="00BE3ECD">
            <w:pPr>
              <w:pStyle w:val="NoSpacing"/>
            </w:pPr>
          </w:p>
        </w:tc>
      </w:tr>
      <w:tr w:rsidR="005D10B3" w:rsidRPr="003470BA" w14:paraId="4EBD4709" w14:textId="77777777" w:rsidTr="00047872">
        <w:trPr>
          <w:trHeight w:val="144"/>
        </w:trPr>
        <w:tc>
          <w:tcPr>
            <w:tcW w:w="714" w:type="dxa"/>
            <w:tcBorders>
              <w:top w:val="single" w:sz="2" w:space="0" w:color="D9D9D9" w:themeColor="background1" w:themeShade="D9"/>
              <w:left w:val="single" w:sz="4" w:space="0" w:color="BFBFBF" w:themeColor="background1" w:themeShade="BF"/>
              <w:bottom w:val="single" w:sz="4" w:space="0" w:color="BFBFBF" w:themeColor="background1" w:themeShade="BF"/>
              <w:right w:val="nil"/>
            </w:tcBorders>
            <w:shd w:val="clear" w:color="auto" w:fill="F2F2F2" w:themeFill="background1" w:themeFillShade="F2"/>
            <w:tcMar>
              <w:top w:w="14" w:type="dxa"/>
              <w:left w:w="43" w:type="dxa"/>
              <w:bottom w:w="14" w:type="dxa"/>
              <w:right w:w="43" w:type="dxa"/>
            </w:tcMar>
            <w:vAlign w:val="center"/>
          </w:tcPr>
          <w:p w14:paraId="4CF7D78D" w14:textId="147DE05B" w:rsidR="005D10B3" w:rsidRPr="003470BA" w:rsidRDefault="005D10B3" w:rsidP="005D10B3">
            <w:pPr>
              <w:pStyle w:val="NoSpacing"/>
              <w:jc w:val="center"/>
              <w:rPr>
                <w:rFonts w:ascii="Segoe UI Symbol" w:hAnsi="Segoe UI Symbol" w:cs="Segoe UI Symbol"/>
              </w:rPr>
            </w:pPr>
            <w:r w:rsidRPr="003470BA">
              <w:rPr>
                <w:rFonts w:ascii="Segoe UI Symbol" w:hAnsi="Segoe UI Symbol" w:cs="Segoe UI Symbol"/>
              </w:rPr>
              <w:t>☐</w:t>
            </w:r>
          </w:p>
        </w:tc>
        <w:tc>
          <w:tcPr>
            <w:tcW w:w="714" w:type="dxa"/>
            <w:tcBorders>
              <w:top w:val="single" w:sz="2" w:space="0" w:color="D9D9D9" w:themeColor="background1" w:themeShade="D9"/>
              <w:left w:val="nil"/>
              <w:bottom w:val="single" w:sz="4" w:space="0" w:color="BFBFBF" w:themeColor="background1" w:themeShade="BF"/>
              <w:right w:val="dotted" w:sz="8" w:space="0" w:color="BFBFBF" w:themeColor="background1" w:themeShade="BF"/>
            </w:tcBorders>
            <w:tcMar>
              <w:top w:w="14" w:type="dxa"/>
              <w:left w:w="58" w:type="dxa"/>
              <w:bottom w:w="14" w:type="dxa"/>
              <w:right w:w="58" w:type="dxa"/>
            </w:tcMar>
            <w:vAlign w:val="center"/>
          </w:tcPr>
          <w:p w14:paraId="5B15092C" w14:textId="3C14C0F3" w:rsidR="005D10B3" w:rsidRPr="003470BA" w:rsidRDefault="005D10B3" w:rsidP="005D10B3">
            <w:pPr>
              <w:pStyle w:val="NoSpacing"/>
              <w:jc w:val="center"/>
              <w:rPr>
                <w:rFonts w:ascii="Segoe UI Symbol" w:hAnsi="Segoe UI Symbol" w:cs="Segoe UI Symbol"/>
              </w:rPr>
            </w:pPr>
            <w:r w:rsidRPr="003470BA">
              <w:rPr>
                <w:rFonts w:ascii="Segoe UI Symbol" w:hAnsi="Segoe UI Symbol" w:cs="Segoe UI Symbol"/>
              </w:rPr>
              <w:t>☐</w:t>
            </w:r>
          </w:p>
        </w:tc>
        <w:tc>
          <w:tcPr>
            <w:tcW w:w="5655" w:type="dxa"/>
            <w:tcBorders>
              <w:top w:val="single" w:sz="2" w:space="0" w:color="D9D9D9" w:themeColor="background1" w:themeShade="D9"/>
              <w:left w:val="dotted" w:sz="8" w:space="0" w:color="BFBFBF" w:themeColor="background1" w:themeShade="BF"/>
              <w:bottom w:val="single" w:sz="4" w:space="0" w:color="BFBFBF" w:themeColor="background1" w:themeShade="BF"/>
              <w:right w:val="single" w:sz="4" w:space="0" w:color="BFBFBF" w:themeColor="background1" w:themeShade="BF"/>
            </w:tcBorders>
            <w:tcMar>
              <w:top w:w="14" w:type="dxa"/>
              <w:left w:w="58" w:type="dxa"/>
              <w:bottom w:w="14" w:type="dxa"/>
            </w:tcMar>
            <w:vAlign w:val="center"/>
          </w:tcPr>
          <w:p w14:paraId="510DCBBA" w14:textId="5CCF05C4" w:rsidR="005D10B3" w:rsidRPr="007B0654" w:rsidRDefault="007B0654" w:rsidP="005D10B3">
            <w:pPr>
              <w:pStyle w:val="NoSpacing"/>
              <w:rPr>
                <w:lang w:val="fr-CA"/>
              </w:rPr>
            </w:pPr>
            <w:r w:rsidRPr="007B0654">
              <w:rPr>
                <w:lang w:val="fr-CA"/>
              </w:rPr>
              <w:t>Autres professionnels de la santé impliqués</w:t>
            </w:r>
            <w:r w:rsidR="00E005B1">
              <w:rPr>
                <w:rStyle w:val="EndnoteReference"/>
              </w:rPr>
              <w:endnoteReference w:id="7"/>
            </w:r>
          </w:p>
        </w:tc>
        <w:tc>
          <w:tcPr>
            <w:tcW w:w="371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Mar>
              <w:top w:w="14" w:type="dxa"/>
              <w:left w:w="58" w:type="dxa"/>
              <w:bottom w:w="14" w:type="dxa"/>
            </w:tcMar>
          </w:tcPr>
          <w:p w14:paraId="194D8A3F" w14:textId="77777777" w:rsidR="005D10B3" w:rsidRPr="003470BA" w:rsidRDefault="005D10B3" w:rsidP="005D10B3">
            <w:pPr>
              <w:pStyle w:val="NoSpacing"/>
            </w:pPr>
          </w:p>
        </w:tc>
      </w:tr>
    </w:tbl>
    <w:p w14:paraId="4028CA77" w14:textId="0EC87217" w:rsidR="007B3962" w:rsidRPr="007B0654" w:rsidRDefault="007B0654" w:rsidP="002D5317">
      <w:pPr>
        <w:pStyle w:val="H2"/>
        <w:rPr>
          <w:rStyle w:val="H2-Subheading"/>
          <w:i/>
          <w:iCs/>
          <w:sz w:val="16"/>
          <w:szCs w:val="16"/>
          <w:lang w:val="fr-CA"/>
        </w:rPr>
      </w:pPr>
      <w:r w:rsidRPr="007B0654">
        <w:rPr>
          <w:lang w:val="fr-CA"/>
        </w:rPr>
        <w:t>É</w:t>
      </w:r>
      <w:r>
        <w:rPr>
          <w:lang w:val="fr-CA"/>
        </w:rPr>
        <w:t>tape</w:t>
      </w:r>
      <w:r w:rsidR="007B3962" w:rsidRPr="002D5317">
        <w:t xml:space="preserve"> 3</w:t>
      </w:r>
      <w:r w:rsidR="00D93F0D" w:rsidRPr="002D5317">
        <w:t xml:space="preserve">: </w:t>
      </w:r>
      <w:r w:rsidRPr="007B0654">
        <w:rPr>
          <w:rFonts w:ascii="Lato" w:hAnsi="Lato"/>
          <w:b w:val="0"/>
          <w:bCs w:val="0"/>
          <w:lang w:val="fr-CA"/>
        </w:rPr>
        <w:t>Gestion des maladies chroniques</w:t>
      </w:r>
      <w:r w:rsidR="00325981">
        <w:rPr>
          <w:rStyle w:val="H2-Subheading"/>
          <w:b w:val="0"/>
          <w:bCs w:val="0"/>
        </w:rPr>
        <w:br/>
      </w:r>
      <w:r w:rsidRPr="007B0654">
        <w:rPr>
          <w:rFonts w:ascii="Lato" w:hAnsi="Lato"/>
          <w:b w:val="0"/>
          <w:bCs w:val="0"/>
          <w:i/>
          <w:iCs/>
          <w:sz w:val="16"/>
          <w:szCs w:val="16"/>
          <w:lang w:val="fr-CA"/>
        </w:rPr>
        <w:t>Mettre à jour le Profil Cumulatif de votre patient, les médicaments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 w:space="0" w:color="D9D9D9" w:themeColor="background1" w:themeShade="D9"/>
        </w:tblBorders>
        <w:tblLayout w:type="fixed"/>
        <w:tblCellMar>
          <w:top w:w="29" w:type="dxa"/>
          <w:left w:w="144" w:type="dxa"/>
          <w:bottom w:w="29" w:type="dxa"/>
          <w:right w:w="58" w:type="dxa"/>
        </w:tblCellMar>
        <w:tblLook w:val="04A0" w:firstRow="1" w:lastRow="0" w:firstColumn="1" w:lastColumn="0" w:noHBand="0" w:noVBand="1"/>
      </w:tblPr>
      <w:tblGrid>
        <w:gridCol w:w="726"/>
        <w:gridCol w:w="709"/>
        <w:gridCol w:w="5645"/>
        <w:gridCol w:w="3890"/>
      </w:tblGrid>
      <w:tr w:rsidR="00082CE9" w:rsidRPr="003470BA" w14:paraId="7701277E" w14:textId="77777777" w:rsidTr="00CF374F">
        <w:trPr>
          <w:trHeight w:val="144"/>
        </w:trPr>
        <w:tc>
          <w:tcPr>
            <w:tcW w:w="726" w:type="dxa"/>
            <w:tcBorders>
              <w:top w:val="single" w:sz="4" w:space="0" w:color="D0CECE" w:themeColor="background2" w:themeShade="E6"/>
              <w:left w:val="single" w:sz="4" w:space="0" w:color="BFBFBF" w:themeColor="background1" w:themeShade="BF"/>
              <w:bottom w:val="nil"/>
              <w:right w:val="nil"/>
            </w:tcBorders>
            <w:shd w:val="clear" w:color="auto" w:fill="F2F2F2" w:themeFill="background1" w:themeFillShade="F2"/>
            <w:tcMar>
              <w:top w:w="29" w:type="dxa"/>
              <w:left w:w="58" w:type="dxa"/>
              <w:bottom w:w="29" w:type="dxa"/>
              <w:right w:w="58" w:type="dxa"/>
            </w:tcMar>
            <w:vAlign w:val="bottom"/>
          </w:tcPr>
          <w:p w14:paraId="707E5832" w14:textId="6DF44608" w:rsidR="00082CE9" w:rsidRPr="0003054B" w:rsidRDefault="007D02AA" w:rsidP="00825BC5">
            <w:pPr>
              <w:pStyle w:val="H3"/>
              <w:jc w:val="center"/>
              <w:rPr>
                <w:b w:val="0"/>
                <w:bCs w:val="0"/>
              </w:rPr>
            </w:pPr>
            <w:r>
              <w:t>1</w:t>
            </w:r>
            <w:r w:rsidRPr="007D02AA">
              <w:rPr>
                <w:vertAlign w:val="superscript"/>
              </w:rPr>
              <w:t>re</w:t>
            </w:r>
            <w:r>
              <w:t xml:space="preserve"> </w:t>
            </w:r>
            <w:proofErr w:type="spellStart"/>
            <w:r w:rsidRPr="007D02AA">
              <w:t>année</w:t>
            </w:r>
            <w:proofErr w:type="spellEnd"/>
          </w:p>
        </w:tc>
        <w:tc>
          <w:tcPr>
            <w:tcW w:w="709" w:type="dxa"/>
            <w:tcBorders>
              <w:top w:val="single" w:sz="4" w:space="0" w:color="D0CECE" w:themeColor="background2" w:themeShade="E6"/>
              <w:left w:val="nil"/>
              <w:bottom w:val="nil"/>
              <w:right w:val="single" w:sz="4" w:space="0" w:color="BFBFBF" w:themeColor="background1" w:themeShade="BF"/>
            </w:tcBorders>
            <w:tcMar>
              <w:top w:w="29" w:type="dxa"/>
              <w:left w:w="58" w:type="dxa"/>
              <w:bottom w:w="29" w:type="dxa"/>
              <w:right w:w="58" w:type="dxa"/>
            </w:tcMar>
            <w:vAlign w:val="bottom"/>
          </w:tcPr>
          <w:p w14:paraId="3A0A6D9A" w14:textId="2E611432" w:rsidR="00082CE9" w:rsidRPr="0003054B" w:rsidRDefault="007D02AA" w:rsidP="00825BC5">
            <w:pPr>
              <w:pStyle w:val="H3"/>
              <w:jc w:val="center"/>
              <w:rPr>
                <w:b w:val="0"/>
                <w:bCs w:val="0"/>
              </w:rPr>
            </w:pPr>
            <w:r>
              <w:t>2</w:t>
            </w:r>
            <w:r w:rsidRPr="007D02AA">
              <w:rPr>
                <w:vertAlign w:val="superscript"/>
              </w:rPr>
              <w:t>e</w:t>
            </w:r>
            <w:r>
              <w:t xml:space="preserve"> </w:t>
            </w:r>
            <w:proofErr w:type="spellStart"/>
            <w:r w:rsidRPr="007D02AA">
              <w:t>année</w:t>
            </w:r>
            <w:proofErr w:type="spellEnd"/>
          </w:p>
        </w:tc>
        <w:tc>
          <w:tcPr>
            <w:tcW w:w="564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tcMar>
              <w:top w:w="29" w:type="dxa"/>
              <w:left w:w="58" w:type="dxa"/>
              <w:bottom w:w="29" w:type="dxa"/>
              <w:right w:w="58" w:type="dxa"/>
            </w:tcMar>
            <w:vAlign w:val="bottom"/>
          </w:tcPr>
          <w:p w14:paraId="3D1B751A" w14:textId="77777777" w:rsidR="00082CE9" w:rsidRPr="003470BA" w:rsidRDefault="00082CE9" w:rsidP="00BE3ECD">
            <w:pPr>
              <w:pStyle w:val="NoSpacing"/>
            </w:pPr>
          </w:p>
        </w:tc>
        <w:tc>
          <w:tcPr>
            <w:tcW w:w="3892" w:type="dxa"/>
            <w:tcBorders>
              <w:top w:val="single" w:sz="4" w:space="0" w:color="FFFFFF" w:themeColor="background1"/>
              <w:left w:val="single" w:sz="4" w:space="0" w:color="FFFFFF" w:themeColor="background1"/>
              <w:bottom w:val="nil"/>
              <w:right w:val="single" w:sz="4" w:space="0" w:color="FFFFFF" w:themeColor="background1"/>
            </w:tcBorders>
            <w:tcMar>
              <w:top w:w="29" w:type="dxa"/>
              <w:left w:w="58" w:type="dxa"/>
              <w:bottom w:w="29" w:type="dxa"/>
              <w:right w:w="58" w:type="dxa"/>
            </w:tcMar>
            <w:vAlign w:val="bottom"/>
          </w:tcPr>
          <w:p w14:paraId="61683D36" w14:textId="573860F3" w:rsidR="00082CE9" w:rsidRPr="003470BA" w:rsidRDefault="00082CE9" w:rsidP="00747E5A">
            <w:pPr>
              <w:pStyle w:val="TableHeaders"/>
            </w:pPr>
          </w:p>
        </w:tc>
      </w:tr>
      <w:tr w:rsidR="00724184" w:rsidRPr="003470BA" w14:paraId="64DD2ADF" w14:textId="77777777" w:rsidTr="00047872">
        <w:trPr>
          <w:trHeight w:val="187"/>
        </w:trPr>
        <w:tc>
          <w:tcPr>
            <w:tcW w:w="726" w:type="dxa"/>
            <w:tcBorders>
              <w:top w:val="nil"/>
              <w:left w:val="single" w:sz="4" w:space="0" w:color="BFBFBF" w:themeColor="background1" w:themeShade="BF"/>
              <w:bottom w:val="single" w:sz="2" w:space="0" w:color="D9D9D9" w:themeColor="background1" w:themeShade="D9"/>
              <w:right w:val="nil"/>
            </w:tcBorders>
            <w:shd w:val="clear" w:color="auto" w:fill="F2F2F2" w:themeFill="background1" w:themeFillShade="F2"/>
            <w:tcMar>
              <w:top w:w="29" w:type="dxa"/>
              <w:left w:w="58" w:type="dxa"/>
              <w:bottom w:w="29" w:type="dxa"/>
              <w:right w:w="58" w:type="dxa"/>
            </w:tcMar>
            <w:vAlign w:val="bottom"/>
          </w:tcPr>
          <w:p w14:paraId="1061ACB7" w14:textId="46C4ACD1" w:rsidR="00724184" w:rsidRPr="003470BA" w:rsidRDefault="00D27C4F" w:rsidP="00314E04">
            <w:pPr>
              <w:pStyle w:val="TableHeaders"/>
              <w:jc w:val="center"/>
            </w:pPr>
            <w:r>
              <w:t>Fait</w:t>
            </w:r>
          </w:p>
        </w:tc>
        <w:tc>
          <w:tcPr>
            <w:tcW w:w="709" w:type="dxa"/>
            <w:tcBorders>
              <w:top w:val="nil"/>
              <w:left w:val="nil"/>
              <w:bottom w:val="single" w:sz="2" w:space="0" w:color="D9D9D9" w:themeColor="background1" w:themeShade="D9"/>
              <w:right w:val="dotted" w:sz="8" w:space="0" w:color="BFBFBF" w:themeColor="background1" w:themeShade="BF"/>
            </w:tcBorders>
            <w:tcMar>
              <w:top w:w="29" w:type="dxa"/>
              <w:left w:w="58" w:type="dxa"/>
              <w:bottom w:w="29" w:type="dxa"/>
              <w:right w:w="58" w:type="dxa"/>
            </w:tcMar>
            <w:vAlign w:val="bottom"/>
          </w:tcPr>
          <w:p w14:paraId="3C52746D" w14:textId="1F13267B" w:rsidR="00724184" w:rsidRPr="003470BA" w:rsidRDefault="00D27C4F" w:rsidP="00314E04">
            <w:pPr>
              <w:pStyle w:val="TableHeaders"/>
              <w:jc w:val="center"/>
            </w:pPr>
            <w:r>
              <w:t>Fait</w:t>
            </w:r>
          </w:p>
        </w:tc>
        <w:tc>
          <w:tcPr>
            <w:tcW w:w="5648" w:type="dxa"/>
            <w:tcBorders>
              <w:top w:val="single" w:sz="4" w:space="0" w:color="BFBFBF" w:themeColor="background1" w:themeShade="BF"/>
              <w:left w:val="dotted" w:sz="8" w:space="0" w:color="BFBFBF" w:themeColor="background1" w:themeShade="BF"/>
              <w:bottom w:val="nil"/>
              <w:right w:val="single" w:sz="4" w:space="0" w:color="BFBFBF" w:themeColor="background1" w:themeShade="BF"/>
            </w:tcBorders>
            <w:tcMar>
              <w:top w:w="29" w:type="dxa"/>
              <w:left w:w="58" w:type="dxa"/>
              <w:bottom w:w="29" w:type="dxa"/>
              <w:right w:w="58" w:type="dxa"/>
            </w:tcMar>
            <w:vAlign w:val="bottom"/>
          </w:tcPr>
          <w:p w14:paraId="72202F0B" w14:textId="0B25B7B2" w:rsidR="00724184" w:rsidRPr="003470BA" w:rsidRDefault="00FD11F3" w:rsidP="00314E04">
            <w:pPr>
              <w:pStyle w:val="TableHeaders"/>
            </w:pPr>
            <w:r w:rsidRPr="00FD11F3">
              <w:rPr>
                <w:lang w:val="fr-CA"/>
              </w:rPr>
              <w:t>Gestion des maladie</w:t>
            </w:r>
            <w:r>
              <w:rPr>
                <w:lang w:val="fr-CA"/>
              </w:rPr>
              <w:t>s</w:t>
            </w:r>
          </w:p>
        </w:tc>
        <w:tc>
          <w:tcPr>
            <w:tcW w:w="3892" w:type="dxa"/>
            <w:tcBorders>
              <w:top w:val="single" w:sz="4" w:space="0" w:color="BFBFBF" w:themeColor="background1" w:themeShade="BF"/>
              <w:left w:val="dotted" w:sz="8" w:space="0" w:color="BFBFBF" w:themeColor="background1" w:themeShade="BF"/>
              <w:bottom w:val="nil"/>
              <w:right w:val="single" w:sz="4" w:space="0" w:color="BFBFBF" w:themeColor="background1" w:themeShade="BF"/>
            </w:tcBorders>
            <w:vAlign w:val="bottom"/>
          </w:tcPr>
          <w:p w14:paraId="11C244FC" w14:textId="7652A6CF" w:rsidR="00724184" w:rsidRPr="003470BA" w:rsidRDefault="000C277B" w:rsidP="00314E04">
            <w:pPr>
              <w:pStyle w:val="TableHeaders"/>
            </w:pPr>
            <w:r w:rsidRPr="000C277B">
              <w:t>Remarques</w:t>
            </w:r>
          </w:p>
        </w:tc>
      </w:tr>
      <w:tr w:rsidR="00082CE9" w:rsidRPr="003470BA" w14:paraId="3AE7B2AC" w14:textId="77777777" w:rsidTr="00EB6A7A">
        <w:trPr>
          <w:trHeight w:val="144"/>
        </w:trPr>
        <w:tc>
          <w:tcPr>
            <w:tcW w:w="726" w:type="dxa"/>
            <w:tcBorders>
              <w:top w:val="single" w:sz="2" w:space="0" w:color="D9D9D9" w:themeColor="background1" w:themeShade="D9"/>
              <w:left w:val="single" w:sz="4" w:space="0" w:color="BFBFBF" w:themeColor="background1" w:themeShade="BF"/>
              <w:bottom w:val="single" w:sz="4" w:space="0" w:color="BFBFBF" w:themeColor="background1" w:themeShade="BF"/>
              <w:right w:val="nil"/>
            </w:tcBorders>
            <w:shd w:val="clear" w:color="auto" w:fill="F2F2F2" w:themeFill="background1" w:themeFillShade="F2"/>
            <w:tcMar>
              <w:top w:w="29" w:type="dxa"/>
              <w:left w:w="58" w:type="dxa"/>
              <w:bottom w:w="29" w:type="dxa"/>
              <w:right w:w="58" w:type="dxa"/>
            </w:tcMar>
            <w:vAlign w:val="center"/>
          </w:tcPr>
          <w:p w14:paraId="2B2BEECE" w14:textId="406E54D1" w:rsidR="00082CE9" w:rsidRPr="003470BA" w:rsidRDefault="00082CE9" w:rsidP="00E9742C">
            <w:pPr>
              <w:pStyle w:val="NoSpacing"/>
              <w:jc w:val="center"/>
              <w:rPr>
                <w:sz w:val="28"/>
                <w:szCs w:val="28"/>
              </w:rPr>
            </w:pPr>
            <w:r w:rsidRPr="003470BA">
              <w:rPr>
                <w:rFonts w:ascii="Segoe UI Symbol" w:hAnsi="Segoe UI Symbol" w:cs="Segoe UI Symbol"/>
              </w:rPr>
              <w:t>☐</w:t>
            </w:r>
          </w:p>
        </w:tc>
        <w:tc>
          <w:tcPr>
            <w:tcW w:w="709" w:type="dxa"/>
            <w:tcBorders>
              <w:top w:val="single" w:sz="2" w:space="0" w:color="D9D9D9" w:themeColor="background1" w:themeShade="D9"/>
              <w:left w:val="nil"/>
              <w:bottom w:val="single" w:sz="4" w:space="0" w:color="BFBFBF" w:themeColor="background1" w:themeShade="BF"/>
              <w:right w:val="dotted" w:sz="8" w:space="0" w:color="BFBFBF" w:themeColor="background1" w:themeShade="BF"/>
            </w:tcBorders>
            <w:tcMar>
              <w:top w:w="29" w:type="dxa"/>
              <w:left w:w="58" w:type="dxa"/>
              <w:bottom w:w="29" w:type="dxa"/>
              <w:right w:w="58" w:type="dxa"/>
            </w:tcMar>
            <w:vAlign w:val="center"/>
          </w:tcPr>
          <w:p w14:paraId="5BB229DB" w14:textId="72E4F365" w:rsidR="00082CE9" w:rsidRPr="003470BA" w:rsidRDefault="00082CE9" w:rsidP="00E9742C">
            <w:pPr>
              <w:pStyle w:val="NoSpacing"/>
              <w:jc w:val="center"/>
              <w:rPr>
                <w:sz w:val="28"/>
                <w:szCs w:val="28"/>
              </w:rPr>
            </w:pPr>
            <w:r w:rsidRPr="003470BA">
              <w:rPr>
                <w:rFonts w:ascii="Segoe UI Symbol" w:hAnsi="Segoe UI Symbol" w:cs="Segoe UI Symbol"/>
              </w:rPr>
              <w:t>☐</w:t>
            </w:r>
          </w:p>
        </w:tc>
        <w:tc>
          <w:tcPr>
            <w:tcW w:w="5648" w:type="dxa"/>
            <w:tcBorders>
              <w:top w:val="single" w:sz="2" w:space="0" w:color="D9D9D9" w:themeColor="background1" w:themeShade="D9"/>
              <w:left w:val="dotted" w:sz="8" w:space="0" w:color="BFBFBF" w:themeColor="background1" w:themeShade="BF"/>
              <w:bottom w:val="single" w:sz="4" w:space="0" w:color="BFBFBF" w:themeColor="background1" w:themeShade="BF"/>
              <w:right w:val="single" w:sz="4" w:space="0" w:color="D0CECE" w:themeColor="background2" w:themeShade="E6"/>
            </w:tcBorders>
            <w:tcMar>
              <w:top w:w="29" w:type="dxa"/>
              <w:left w:w="58" w:type="dxa"/>
              <w:bottom w:w="29" w:type="dxa"/>
              <w:right w:w="58" w:type="dxa"/>
            </w:tcMar>
            <w:vAlign w:val="center"/>
          </w:tcPr>
          <w:p w14:paraId="5CFCABBF" w14:textId="03B77BCD" w:rsidR="00082CE9" w:rsidRPr="00FD11F3" w:rsidRDefault="00FD11F3" w:rsidP="00BE3ECD">
            <w:pPr>
              <w:pStyle w:val="NoSpacing"/>
              <w:rPr>
                <w:lang w:val="fr-CA"/>
              </w:rPr>
            </w:pPr>
            <w:r w:rsidRPr="00FD11F3">
              <w:rPr>
                <w:lang w:val="fr-CA"/>
              </w:rPr>
              <w:t>Passer en revue les conditions ou maladies chroniques, médicaments</w:t>
            </w:r>
            <w:r w:rsidR="007B3962" w:rsidRPr="003470BA">
              <w:rPr>
                <w:rStyle w:val="EndnoteReference"/>
              </w:rPr>
              <w:endnoteReference w:id="8"/>
            </w:r>
          </w:p>
        </w:tc>
        <w:tc>
          <w:tcPr>
            <w:tcW w:w="3892" w:type="dxa"/>
            <w:tcBorders>
              <w:top w:val="single" w:sz="2" w:space="0" w:color="D9D9D9" w:themeColor="background1" w:themeShade="D9"/>
              <w:left w:val="single" w:sz="4" w:space="0" w:color="D0CECE" w:themeColor="background2" w:themeShade="E6"/>
              <w:bottom w:val="single" w:sz="4" w:space="0" w:color="BFBFBF" w:themeColor="background1" w:themeShade="BF"/>
              <w:right w:val="single" w:sz="4" w:space="0" w:color="BFBFBF" w:themeColor="background1" w:themeShade="BF"/>
            </w:tcBorders>
            <w:tcMar>
              <w:top w:w="29" w:type="dxa"/>
              <w:left w:w="58" w:type="dxa"/>
              <w:bottom w:w="29" w:type="dxa"/>
              <w:right w:w="58" w:type="dxa"/>
            </w:tcMar>
          </w:tcPr>
          <w:p w14:paraId="7993EC93" w14:textId="77777777" w:rsidR="00082CE9" w:rsidRPr="003470BA" w:rsidRDefault="00082CE9" w:rsidP="00BE3ECD">
            <w:pPr>
              <w:pStyle w:val="NoSpacing"/>
            </w:pPr>
          </w:p>
        </w:tc>
      </w:tr>
    </w:tbl>
    <w:p w14:paraId="727911B8" w14:textId="55C2A768" w:rsidR="0016538B" w:rsidRPr="00DB0F69" w:rsidRDefault="0016538B" w:rsidP="008363ED">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 w:space="0" w:color="D9D9D9" w:themeColor="background1" w:themeShade="D9"/>
        </w:tblBorders>
        <w:tblLayout w:type="fixed"/>
        <w:tblCellMar>
          <w:top w:w="29" w:type="dxa"/>
          <w:left w:w="58" w:type="dxa"/>
          <w:bottom w:w="29" w:type="dxa"/>
          <w:right w:w="58" w:type="dxa"/>
        </w:tblCellMar>
        <w:tblLook w:val="04A0" w:firstRow="1" w:lastRow="0" w:firstColumn="1" w:lastColumn="0" w:noHBand="0" w:noVBand="1"/>
      </w:tblPr>
      <w:tblGrid>
        <w:gridCol w:w="837"/>
        <w:gridCol w:w="839"/>
        <w:gridCol w:w="839"/>
        <w:gridCol w:w="839"/>
        <w:gridCol w:w="3731"/>
        <w:gridCol w:w="3890"/>
      </w:tblGrid>
      <w:tr w:rsidR="00610D3E" w:rsidRPr="003470BA" w14:paraId="00DCE521" w14:textId="77777777" w:rsidTr="00CF374F">
        <w:trPr>
          <w:cantSplit/>
          <w:trHeight w:val="144"/>
          <w:tblHeader/>
        </w:trPr>
        <w:tc>
          <w:tcPr>
            <w:tcW w:w="10980" w:type="dxa"/>
            <w:gridSpan w:val="6"/>
            <w:tcBorders>
              <w:top w:val="single" w:sz="4" w:space="0" w:color="FFFFFF" w:themeColor="background1"/>
              <w:left w:val="nil"/>
              <w:bottom w:val="single" w:sz="4" w:space="0" w:color="FFFFFF" w:themeColor="background1"/>
              <w:right w:val="single" w:sz="4" w:space="0" w:color="FFFFFF" w:themeColor="background1"/>
            </w:tcBorders>
            <w:shd w:val="clear" w:color="auto" w:fill="auto"/>
            <w:tcMar>
              <w:left w:w="58" w:type="dxa"/>
              <w:right w:w="58" w:type="dxa"/>
            </w:tcMar>
          </w:tcPr>
          <w:p w14:paraId="4075C394" w14:textId="01B7A20A" w:rsidR="00610D3E" w:rsidRPr="00FE3B56" w:rsidRDefault="007B0654" w:rsidP="00BD4275">
            <w:pPr>
              <w:pStyle w:val="NoSpacing"/>
              <w:spacing w:before="60" w:after="60"/>
              <w:rPr>
                <w:rStyle w:val="H2-Subheading"/>
              </w:rPr>
            </w:pPr>
            <w:r w:rsidRPr="007B0654">
              <w:rPr>
                <w:b/>
                <w:bCs/>
                <w:sz w:val="22"/>
                <w:szCs w:val="22"/>
                <w:lang w:val="fr-CA"/>
              </w:rPr>
              <w:t>Étape</w:t>
            </w:r>
            <w:r w:rsidR="00FE3B56" w:rsidRPr="00FE3B56">
              <w:rPr>
                <w:rStyle w:val="H2-Subheading"/>
                <w:b/>
                <w:bCs/>
                <w:sz w:val="22"/>
                <w:szCs w:val="22"/>
              </w:rPr>
              <w:t xml:space="preserve"> 4</w:t>
            </w:r>
            <w:r w:rsidR="00FE3B56">
              <w:rPr>
                <w:rStyle w:val="H2-Subheading"/>
                <w:b/>
                <w:bCs/>
                <w:sz w:val="22"/>
                <w:szCs w:val="22"/>
              </w:rPr>
              <w:t>:</w:t>
            </w:r>
            <w:r w:rsidR="00FE3B56" w:rsidRPr="00FE3B56">
              <w:rPr>
                <w:rStyle w:val="H2-Subheading"/>
                <w:sz w:val="22"/>
                <w:szCs w:val="22"/>
              </w:rPr>
              <w:t xml:space="preserve"> </w:t>
            </w:r>
            <w:r w:rsidR="00FD11F3" w:rsidRPr="00FD11F3">
              <w:rPr>
                <w:sz w:val="22"/>
                <w:szCs w:val="22"/>
                <w:lang w:val="fr-CA"/>
              </w:rPr>
              <w:t>Revue des systèmes/Évaluation des risques</w:t>
            </w:r>
            <w:r w:rsidR="00FE3B56" w:rsidRPr="009746C3">
              <w:rPr>
                <w:rStyle w:val="H2-Subheading"/>
                <w:sz w:val="22"/>
                <w:szCs w:val="22"/>
                <w:vertAlign w:val="superscript"/>
              </w:rPr>
              <w:endnoteReference w:id="9"/>
            </w:r>
          </w:p>
        </w:tc>
      </w:tr>
      <w:tr w:rsidR="0003054B" w:rsidRPr="003470BA" w14:paraId="798A1FED" w14:textId="77777777" w:rsidTr="00EB6A7A">
        <w:trPr>
          <w:cantSplit/>
          <w:trHeight w:val="144"/>
        </w:trPr>
        <w:tc>
          <w:tcPr>
            <w:tcW w:w="1677" w:type="dxa"/>
            <w:gridSpan w:val="2"/>
            <w:tcBorders>
              <w:top w:val="single" w:sz="4" w:space="0" w:color="D0CECE" w:themeColor="background2" w:themeShade="E6"/>
              <w:left w:val="single" w:sz="4" w:space="0" w:color="BFBFBF" w:themeColor="background1" w:themeShade="BF"/>
              <w:bottom w:val="nil"/>
              <w:right w:val="nil"/>
            </w:tcBorders>
            <w:shd w:val="clear" w:color="auto" w:fill="F2F2F2" w:themeFill="background1" w:themeFillShade="F2"/>
            <w:tcMar>
              <w:left w:w="58" w:type="dxa"/>
              <w:right w:w="58" w:type="dxa"/>
            </w:tcMar>
          </w:tcPr>
          <w:p w14:paraId="47372DBE" w14:textId="337DB58D" w:rsidR="0003054B" w:rsidRPr="0003054B" w:rsidRDefault="007D02AA" w:rsidP="00E9742C">
            <w:pPr>
              <w:pStyle w:val="NoSpacing"/>
              <w:jc w:val="center"/>
              <w:rPr>
                <w:rFonts w:ascii="Lato Black" w:hAnsi="Lato Black" w:cs="Segoe UI Symbol"/>
                <w:sz w:val="20"/>
                <w:szCs w:val="20"/>
              </w:rPr>
            </w:pPr>
            <w:r w:rsidRPr="007D02AA">
              <w:rPr>
                <w:rFonts w:ascii="Lato Black" w:hAnsi="Lato Black"/>
                <w:sz w:val="20"/>
                <w:szCs w:val="20"/>
              </w:rPr>
              <w:t>1</w:t>
            </w:r>
            <w:r w:rsidRPr="007D02AA">
              <w:rPr>
                <w:rFonts w:ascii="Lato Black" w:hAnsi="Lato Black"/>
                <w:sz w:val="20"/>
                <w:szCs w:val="20"/>
                <w:vertAlign w:val="superscript"/>
              </w:rPr>
              <w:t>re</w:t>
            </w:r>
            <w:r w:rsidRPr="007D02AA">
              <w:rPr>
                <w:rFonts w:ascii="Lato Black" w:hAnsi="Lato Black"/>
                <w:sz w:val="20"/>
                <w:szCs w:val="20"/>
              </w:rPr>
              <w:t xml:space="preserve"> </w:t>
            </w:r>
            <w:proofErr w:type="spellStart"/>
            <w:r w:rsidRPr="007D02AA">
              <w:rPr>
                <w:rFonts w:ascii="Lato Black" w:hAnsi="Lato Black"/>
                <w:sz w:val="20"/>
                <w:szCs w:val="20"/>
              </w:rPr>
              <w:t>année</w:t>
            </w:r>
            <w:proofErr w:type="spellEnd"/>
          </w:p>
        </w:tc>
        <w:tc>
          <w:tcPr>
            <w:tcW w:w="1678" w:type="dxa"/>
            <w:gridSpan w:val="2"/>
            <w:tcBorders>
              <w:top w:val="single" w:sz="8" w:space="0" w:color="BFBFBF" w:themeColor="background1" w:themeShade="BF"/>
              <w:left w:val="nil"/>
              <w:bottom w:val="single" w:sz="4" w:space="0" w:color="FFFFFF" w:themeColor="background1"/>
              <w:right w:val="single" w:sz="4" w:space="0" w:color="D0CECE" w:themeColor="background2" w:themeShade="E6"/>
            </w:tcBorders>
            <w:tcMar>
              <w:left w:w="58" w:type="dxa"/>
              <w:right w:w="58" w:type="dxa"/>
            </w:tcMar>
          </w:tcPr>
          <w:p w14:paraId="56357FF4" w14:textId="5947A4D7" w:rsidR="0003054B" w:rsidRPr="0003054B" w:rsidRDefault="007D02AA" w:rsidP="00E9742C">
            <w:pPr>
              <w:pStyle w:val="NoSpacing"/>
              <w:jc w:val="center"/>
              <w:rPr>
                <w:rFonts w:ascii="Lato Black" w:hAnsi="Lato Black" w:cs="Segoe UI Symbol"/>
                <w:sz w:val="20"/>
                <w:szCs w:val="20"/>
              </w:rPr>
            </w:pPr>
            <w:r w:rsidRPr="007D02AA">
              <w:rPr>
                <w:rFonts w:ascii="Lato Black" w:hAnsi="Lato Black" w:cs="Segoe UI Symbol"/>
                <w:sz w:val="20"/>
                <w:szCs w:val="20"/>
              </w:rPr>
              <w:t>2</w:t>
            </w:r>
            <w:r w:rsidRPr="007D02AA">
              <w:rPr>
                <w:rFonts w:ascii="Lato Black" w:hAnsi="Lato Black" w:cs="Segoe UI Symbol"/>
                <w:sz w:val="20"/>
                <w:szCs w:val="20"/>
                <w:vertAlign w:val="superscript"/>
              </w:rPr>
              <w:t>e</w:t>
            </w:r>
            <w:r w:rsidRPr="007D02AA">
              <w:rPr>
                <w:rFonts w:ascii="Lato Black" w:hAnsi="Lato Black" w:cs="Segoe UI Symbol"/>
                <w:sz w:val="20"/>
                <w:szCs w:val="20"/>
              </w:rPr>
              <w:t xml:space="preserve"> </w:t>
            </w:r>
            <w:proofErr w:type="spellStart"/>
            <w:r w:rsidRPr="007D02AA">
              <w:rPr>
                <w:rFonts w:ascii="Lato Black" w:hAnsi="Lato Black" w:cs="Segoe UI Symbol"/>
                <w:sz w:val="20"/>
                <w:szCs w:val="20"/>
              </w:rPr>
              <w:t>année</w:t>
            </w:r>
            <w:proofErr w:type="spellEnd"/>
          </w:p>
        </w:tc>
        <w:tc>
          <w:tcPr>
            <w:tcW w:w="3733" w:type="dxa"/>
            <w:tcBorders>
              <w:top w:val="single" w:sz="4" w:space="0" w:color="FFFFFF" w:themeColor="background1"/>
              <w:left w:val="single" w:sz="4" w:space="0" w:color="D0CECE" w:themeColor="background2" w:themeShade="E6"/>
              <w:bottom w:val="single" w:sz="4" w:space="0" w:color="D0CECE" w:themeColor="background2" w:themeShade="E6"/>
              <w:right w:val="single" w:sz="4" w:space="0" w:color="FFFFFF" w:themeColor="background1"/>
            </w:tcBorders>
            <w:tcMar>
              <w:left w:w="58" w:type="dxa"/>
              <w:right w:w="58" w:type="dxa"/>
            </w:tcMar>
            <w:vAlign w:val="center"/>
          </w:tcPr>
          <w:p w14:paraId="5D7AA1B5" w14:textId="53065446" w:rsidR="0003054B" w:rsidRPr="003470BA" w:rsidRDefault="0003054B" w:rsidP="00590C17">
            <w:pPr>
              <w:pStyle w:val="NoSpacing"/>
            </w:pPr>
          </w:p>
        </w:tc>
        <w:tc>
          <w:tcPr>
            <w:tcW w:w="3892"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tcPr>
          <w:p w14:paraId="449A9670" w14:textId="77777777" w:rsidR="0003054B" w:rsidRPr="003470BA" w:rsidRDefault="0003054B" w:rsidP="00590C17">
            <w:pPr>
              <w:pStyle w:val="NoSpacing"/>
            </w:pPr>
          </w:p>
        </w:tc>
      </w:tr>
      <w:tr w:rsidR="00EC1838" w:rsidRPr="003470BA" w14:paraId="4338317D" w14:textId="77777777" w:rsidTr="00D27C4F">
        <w:trPr>
          <w:cantSplit/>
          <w:trHeight w:val="144"/>
        </w:trPr>
        <w:tc>
          <w:tcPr>
            <w:tcW w:w="838" w:type="dxa"/>
            <w:tcBorders>
              <w:top w:val="nil"/>
              <w:left w:val="single" w:sz="4"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19028BD5" w14:textId="5AD3FB73" w:rsidR="00EC1838" w:rsidRPr="003470BA" w:rsidRDefault="00D27C4F" w:rsidP="00D27C4F">
            <w:pPr>
              <w:pStyle w:val="TableHeaders"/>
              <w:jc w:val="center"/>
            </w:pPr>
            <w:proofErr w:type="spellStart"/>
            <w:r w:rsidRPr="00D27C4F">
              <w:t>Problème</w:t>
            </w:r>
            <w:proofErr w:type="spellEnd"/>
          </w:p>
        </w:tc>
        <w:tc>
          <w:tcPr>
            <w:tcW w:w="839" w:type="dxa"/>
            <w:tcBorders>
              <w:top w:val="nil"/>
              <w:left w:val="nil"/>
              <w:bottom w:val="single" w:sz="8" w:space="0" w:color="BFBFBF" w:themeColor="background1" w:themeShade="BF"/>
              <w:right w:val="nil"/>
            </w:tcBorders>
            <w:shd w:val="clear" w:color="auto" w:fill="F2F2F2" w:themeFill="background1" w:themeFillShade="F2"/>
            <w:tcMar>
              <w:left w:w="58" w:type="dxa"/>
              <w:right w:w="58" w:type="dxa"/>
            </w:tcMar>
            <w:vAlign w:val="bottom"/>
          </w:tcPr>
          <w:p w14:paraId="11BB3516" w14:textId="6CEA7888" w:rsidR="00EC1838" w:rsidRPr="003470BA" w:rsidRDefault="00D27C4F" w:rsidP="00D27C4F">
            <w:pPr>
              <w:pStyle w:val="TableHeaders"/>
              <w:jc w:val="center"/>
            </w:pPr>
            <w:r w:rsidRPr="00D27C4F">
              <w:t>P</w:t>
            </w:r>
            <w:r>
              <w:t xml:space="preserve">as de </w:t>
            </w:r>
            <w:proofErr w:type="spellStart"/>
            <w:r>
              <w:t>p</w:t>
            </w:r>
            <w:r w:rsidRPr="00D27C4F">
              <w:t>roblème</w:t>
            </w:r>
            <w:proofErr w:type="spellEnd"/>
          </w:p>
        </w:tc>
        <w:tc>
          <w:tcPr>
            <w:tcW w:w="839" w:type="dxa"/>
            <w:tcBorders>
              <w:top w:val="single" w:sz="4" w:space="0" w:color="FFFFFF" w:themeColor="background1"/>
              <w:left w:val="nil"/>
              <w:bottom w:val="single" w:sz="8" w:space="0" w:color="BFBFBF" w:themeColor="background1" w:themeShade="BF"/>
              <w:right w:val="single" w:sz="4" w:space="0" w:color="FFFFFF" w:themeColor="background1"/>
            </w:tcBorders>
            <w:tcMar>
              <w:left w:w="58" w:type="dxa"/>
              <w:right w:w="58" w:type="dxa"/>
            </w:tcMar>
            <w:vAlign w:val="bottom"/>
          </w:tcPr>
          <w:p w14:paraId="55F04423" w14:textId="25B27F56" w:rsidR="00EC1838" w:rsidRPr="003470BA" w:rsidRDefault="00D27C4F" w:rsidP="00D27C4F">
            <w:pPr>
              <w:pStyle w:val="TableHeaders"/>
              <w:jc w:val="center"/>
            </w:pPr>
            <w:proofErr w:type="spellStart"/>
            <w:r w:rsidRPr="00D27C4F">
              <w:t>Problème</w:t>
            </w:r>
            <w:proofErr w:type="spellEnd"/>
          </w:p>
        </w:tc>
        <w:tc>
          <w:tcPr>
            <w:tcW w:w="839" w:type="dxa"/>
            <w:tcBorders>
              <w:top w:val="single" w:sz="4" w:space="0" w:color="FFFFFF" w:themeColor="background1"/>
              <w:left w:val="single" w:sz="4" w:space="0" w:color="FFFFFF" w:themeColor="background1"/>
              <w:bottom w:val="single" w:sz="8" w:space="0" w:color="BFBFBF" w:themeColor="background1" w:themeShade="BF"/>
              <w:right w:val="dotted" w:sz="8" w:space="0" w:color="BFBFBF" w:themeColor="background1" w:themeShade="BF"/>
            </w:tcBorders>
            <w:tcMar>
              <w:left w:w="58" w:type="dxa"/>
              <w:right w:w="58" w:type="dxa"/>
            </w:tcMar>
            <w:vAlign w:val="bottom"/>
          </w:tcPr>
          <w:p w14:paraId="7D72E6ED" w14:textId="16FC59BF" w:rsidR="00EC1838" w:rsidRPr="003470BA" w:rsidRDefault="00D27C4F" w:rsidP="00D27C4F">
            <w:pPr>
              <w:pStyle w:val="TableHeaders"/>
              <w:jc w:val="center"/>
            </w:pPr>
            <w:r w:rsidRPr="00D27C4F">
              <w:t>P</w:t>
            </w:r>
            <w:r>
              <w:t xml:space="preserve">as de </w:t>
            </w:r>
            <w:proofErr w:type="spellStart"/>
            <w:r>
              <w:t>p</w:t>
            </w:r>
            <w:r w:rsidRPr="00D27C4F">
              <w:t>roblème</w:t>
            </w:r>
            <w:proofErr w:type="spellEnd"/>
          </w:p>
        </w:tc>
        <w:tc>
          <w:tcPr>
            <w:tcW w:w="3733" w:type="dxa"/>
            <w:tcBorders>
              <w:top w:val="single" w:sz="4" w:space="0" w:color="D0CECE" w:themeColor="background2" w:themeShade="E6"/>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C1207BC" w14:textId="3DB552F6" w:rsidR="00EC1838" w:rsidRPr="003470BA" w:rsidRDefault="00FD11F3" w:rsidP="0003054B">
            <w:pPr>
              <w:pStyle w:val="TableHeaders"/>
            </w:pPr>
            <w:proofErr w:type="spellStart"/>
            <w:r w:rsidRPr="00FD11F3">
              <w:t>Évaluation</w:t>
            </w:r>
            <w:proofErr w:type="spellEnd"/>
          </w:p>
        </w:tc>
        <w:tc>
          <w:tcPr>
            <w:tcW w:w="3892" w:type="dxa"/>
            <w:tcBorders>
              <w:top w:val="single" w:sz="4" w:space="0" w:color="D0CECE" w:themeColor="background2" w:themeShade="E6"/>
              <w:left w:val="dotted" w:sz="8" w:space="0" w:color="BFBFBF" w:themeColor="background1" w:themeShade="BF"/>
              <w:bottom w:val="single" w:sz="8" w:space="0" w:color="BFBFBF" w:themeColor="background1" w:themeShade="BF"/>
              <w:right w:val="single" w:sz="4" w:space="0" w:color="BFBFBF" w:themeColor="background1" w:themeShade="BF"/>
            </w:tcBorders>
          </w:tcPr>
          <w:p w14:paraId="1ABF9808" w14:textId="33F2444A" w:rsidR="00EC1838" w:rsidRPr="003470BA" w:rsidRDefault="000C277B" w:rsidP="0003054B">
            <w:pPr>
              <w:pStyle w:val="TableHeaders"/>
            </w:pPr>
            <w:r w:rsidRPr="000C277B">
              <w:t>Remarques</w:t>
            </w:r>
          </w:p>
        </w:tc>
      </w:tr>
      <w:tr w:rsidR="003640B4" w:rsidRPr="003470BA" w14:paraId="00C0F1E4" w14:textId="7D98A7CF" w:rsidTr="00047872">
        <w:trPr>
          <w:cantSplit/>
          <w:trHeight w:val="144"/>
        </w:trPr>
        <w:tc>
          <w:tcPr>
            <w:tcW w:w="838" w:type="dxa"/>
            <w:tcBorders>
              <w:top w:val="nil"/>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27872A9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nil"/>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07795599"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54D57C4A" w14:textId="23F2C7BF"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1D0DF515" w14:textId="0E0AD4C0"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B7FE412" w14:textId="00E15696" w:rsidR="003640B4" w:rsidRPr="003470BA" w:rsidRDefault="00FD11F3" w:rsidP="00590C17">
            <w:pPr>
              <w:pStyle w:val="NoSpacing"/>
              <w:rPr>
                <w:rFonts w:cs="Segoe UI Symbol"/>
              </w:rPr>
            </w:pPr>
            <w:r w:rsidRPr="00FD11F3">
              <w:t>Alimentation, nutrition</w:t>
            </w:r>
            <w:r w:rsidR="003640B4" w:rsidRPr="003470BA">
              <w:rPr>
                <w:rStyle w:val="EndnoteReference"/>
              </w:rPr>
              <w:endnoteReference w:id="10"/>
            </w:r>
          </w:p>
        </w:tc>
        <w:tc>
          <w:tcPr>
            <w:tcW w:w="3892" w:type="dxa"/>
            <w:tcBorders>
              <w:top w:val="single" w:sz="8" w:space="0" w:color="BFBFBF" w:themeColor="background1" w:themeShade="BF"/>
              <w:left w:val="dotted" w:sz="8" w:space="0" w:color="BFBFBF" w:themeColor="background1" w:themeShade="BF"/>
              <w:bottom w:val="single" w:sz="4" w:space="0" w:color="FFFFFF" w:themeColor="background1"/>
              <w:right w:val="single" w:sz="4" w:space="0" w:color="BFBFBF" w:themeColor="background1" w:themeShade="BF"/>
            </w:tcBorders>
          </w:tcPr>
          <w:p w14:paraId="646ABA71" w14:textId="77777777" w:rsidR="003640B4" w:rsidRPr="003470BA" w:rsidRDefault="003640B4" w:rsidP="00590C17">
            <w:pPr>
              <w:pStyle w:val="NoSpacing"/>
            </w:pPr>
          </w:p>
        </w:tc>
      </w:tr>
      <w:tr w:rsidR="003640B4" w:rsidRPr="003470BA" w14:paraId="6B146DED" w14:textId="07308AAD"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050C5A0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45E55EE2"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0B75E1E0" w14:textId="519CB1B1"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466F377" w14:textId="21EC9468"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C96F2B3" w14:textId="0C005317" w:rsidR="003640B4" w:rsidRPr="003470BA" w:rsidRDefault="00FD11F3" w:rsidP="00590C17">
            <w:pPr>
              <w:pStyle w:val="NoSpacing"/>
              <w:rPr>
                <w:rFonts w:cs="Segoe UI Symbol"/>
              </w:rPr>
            </w:pPr>
            <w:proofErr w:type="spellStart"/>
            <w:r w:rsidRPr="00FD11F3">
              <w:t>Activité</w:t>
            </w:r>
            <w:proofErr w:type="spellEnd"/>
            <w:r w:rsidRPr="00FD11F3">
              <w:t xml:space="preserve"> physique</w:t>
            </w:r>
            <w:r w:rsidR="003640B4" w:rsidRPr="003470BA">
              <w:rPr>
                <w:rStyle w:val="EndnoteReference"/>
              </w:rPr>
              <w:endnoteReference w:id="11"/>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6C44CF6F" w14:textId="77777777" w:rsidR="003640B4" w:rsidRPr="003470BA" w:rsidRDefault="003640B4" w:rsidP="00590C17">
            <w:pPr>
              <w:pStyle w:val="NoSpacing"/>
            </w:pPr>
          </w:p>
        </w:tc>
      </w:tr>
      <w:tr w:rsidR="003640B4" w:rsidRPr="003470BA" w14:paraId="02F87CFB" w14:textId="7AEC9293"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09CA00D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258E95DD"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6A1818BF" w14:textId="64227600"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397A52F2" w14:textId="769E46B3"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4CCD58C" w14:textId="3B07A478" w:rsidR="003640B4" w:rsidRPr="003470BA" w:rsidRDefault="00FD11F3" w:rsidP="00590C17">
            <w:pPr>
              <w:pStyle w:val="NoSpacing"/>
              <w:rPr>
                <w:rFonts w:cs="Segoe UI Symbol"/>
              </w:rPr>
            </w:pPr>
            <w:r w:rsidRPr="00FD11F3">
              <w:rPr>
                <w:lang w:val="fr-CA"/>
              </w:rPr>
              <w:t>Tabagisme, consommation d’alcool ou de drogues</w:t>
            </w:r>
            <w:r w:rsidR="003640B4" w:rsidRPr="003470BA">
              <w:rPr>
                <w:rStyle w:val="EndnoteReference"/>
              </w:rPr>
              <w:endnoteReference w:id="12"/>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60BFFCEC" w14:textId="77777777" w:rsidR="003640B4" w:rsidRPr="003470BA" w:rsidRDefault="003640B4" w:rsidP="00590C17">
            <w:pPr>
              <w:pStyle w:val="NoSpacing"/>
            </w:pPr>
          </w:p>
        </w:tc>
      </w:tr>
      <w:tr w:rsidR="003640B4" w:rsidRPr="003470BA" w14:paraId="781044AB" w14:textId="6E6F9D8D"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11DF691A"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42CFBB9A"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365CD36B" w14:textId="14852C35"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22278CDC" w14:textId="429EE808"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253975B" w14:textId="489E3966" w:rsidR="003640B4" w:rsidRPr="003470BA" w:rsidRDefault="00FD11F3" w:rsidP="00590C17">
            <w:pPr>
              <w:pStyle w:val="NoSpacing"/>
              <w:rPr>
                <w:rFonts w:cs="Segoe UI Symbol"/>
              </w:rPr>
            </w:pPr>
            <w:proofErr w:type="spellStart"/>
            <w:r w:rsidRPr="00FD11F3">
              <w:t>Sécurité</w:t>
            </w:r>
            <w:proofErr w:type="spellEnd"/>
            <w:r w:rsidR="003640B4" w:rsidRPr="003470BA">
              <w:rPr>
                <w:rStyle w:val="EndnoteReference"/>
              </w:rPr>
              <w:endnoteReference w:id="13"/>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4AFC299A" w14:textId="77777777" w:rsidR="003640B4" w:rsidRPr="003470BA" w:rsidRDefault="003640B4" w:rsidP="00590C17">
            <w:pPr>
              <w:pStyle w:val="NoSpacing"/>
            </w:pPr>
          </w:p>
        </w:tc>
      </w:tr>
      <w:tr w:rsidR="003640B4" w:rsidRPr="003470BA" w14:paraId="7B7565A5" w14:textId="3DCEC580"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23274BC9"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359314A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668BC160" w14:textId="3AF8AD80"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1A866C00" w14:textId="3091E502"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1E9F399" w14:textId="46612681" w:rsidR="003640B4" w:rsidRPr="003470BA" w:rsidRDefault="00FD11F3" w:rsidP="00590C17">
            <w:pPr>
              <w:pStyle w:val="NoSpacing"/>
              <w:rPr>
                <w:rFonts w:cs="Segoe UI Symbol"/>
              </w:rPr>
            </w:pPr>
            <w:proofErr w:type="spellStart"/>
            <w:r w:rsidRPr="00FD11F3">
              <w:t>Sommeil</w:t>
            </w:r>
            <w:proofErr w:type="spellEnd"/>
            <w:r w:rsidR="003640B4" w:rsidRPr="003470BA">
              <w:rPr>
                <w:rStyle w:val="EndnoteReference"/>
              </w:rPr>
              <w:endnoteReference w:id="14"/>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407B8BB4" w14:textId="77777777" w:rsidR="003640B4" w:rsidRPr="003470BA" w:rsidRDefault="003640B4" w:rsidP="00590C17">
            <w:pPr>
              <w:pStyle w:val="NoSpacing"/>
            </w:pPr>
          </w:p>
        </w:tc>
      </w:tr>
      <w:tr w:rsidR="003640B4" w:rsidRPr="003470BA" w14:paraId="2D96D284" w14:textId="46D72D65"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4979C577" w14:textId="7397C4A2"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5F9936B4" w14:textId="03D390F6"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13D47461" w14:textId="16142863"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588170AC" w14:textId="18EFB7D0"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78CC629A" w14:textId="09B3EE0E" w:rsidR="003640B4" w:rsidRPr="003470BA" w:rsidRDefault="00FD11F3" w:rsidP="00590C17">
            <w:pPr>
              <w:pStyle w:val="NoSpacing"/>
              <w:rPr>
                <w:rFonts w:cs="Segoe UI Symbol"/>
              </w:rPr>
            </w:pPr>
            <w:proofErr w:type="spellStart"/>
            <w:r w:rsidRPr="00FD11F3">
              <w:t>Douleur</w:t>
            </w:r>
            <w:proofErr w:type="spellEnd"/>
            <w:r w:rsidR="003640B4" w:rsidRPr="003470BA">
              <w:rPr>
                <w:rStyle w:val="EndnoteReference"/>
              </w:rPr>
              <w:endnoteReference w:id="15"/>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47F562B8" w14:textId="77777777" w:rsidR="003640B4" w:rsidRPr="003470BA" w:rsidRDefault="003640B4" w:rsidP="00590C17">
            <w:pPr>
              <w:pStyle w:val="NoSpacing"/>
            </w:pPr>
          </w:p>
        </w:tc>
      </w:tr>
      <w:tr w:rsidR="003640B4" w:rsidRPr="003470BA" w14:paraId="287431BE" w14:textId="0C594AF2"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8487CF0" w14:textId="205F6900"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6FEDF740" w14:textId="666CE5C9"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173339F4" w14:textId="16866AFF"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2343081B" w14:textId="0BE6B3EB"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D9AABB4" w14:textId="4CB62C4D" w:rsidR="003640B4" w:rsidRPr="003470BA" w:rsidRDefault="00FD11F3" w:rsidP="00590C17">
            <w:pPr>
              <w:pStyle w:val="NoSpacing"/>
            </w:pPr>
            <w:r w:rsidRPr="00FD11F3">
              <w:t xml:space="preserve">Tête et </w:t>
            </w:r>
            <w:proofErr w:type="spellStart"/>
            <w:r w:rsidRPr="00FD11F3">
              <w:t>cou</w:t>
            </w:r>
            <w:proofErr w:type="spellEnd"/>
            <w:r w:rsidR="003640B4" w:rsidRPr="003470BA">
              <w:rPr>
                <w:rStyle w:val="EndnoteReference"/>
              </w:rPr>
              <w:endnoteReference w:id="16"/>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589CEBAC" w14:textId="77777777" w:rsidR="003640B4" w:rsidRPr="003470BA" w:rsidRDefault="003640B4" w:rsidP="00590C17">
            <w:pPr>
              <w:pStyle w:val="NoSpacing"/>
            </w:pPr>
          </w:p>
        </w:tc>
      </w:tr>
      <w:tr w:rsidR="003640B4" w:rsidRPr="003470BA" w14:paraId="4C6AB351" w14:textId="1D3C0C08"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61807B5E" w14:textId="074BD914"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1909B625" w14:textId="7AB8479A"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49D599F" w14:textId="51C2CAAC"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383FABC" w14:textId="6D0AA3C4"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936CD32" w14:textId="00F02E23" w:rsidR="003640B4" w:rsidRPr="003470BA" w:rsidRDefault="00FD11F3" w:rsidP="00590C17">
            <w:pPr>
              <w:pStyle w:val="NoSpacing"/>
              <w:rPr>
                <w:rFonts w:cs="Segoe UI Symbol"/>
              </w:rPr>
            </w:pPr>
            <w:r w:rsidRPr="00FD11F3">
              <w:t xml:space="preserve">Dernier examen- </w:t>
            </w:r>
            <w:proofErr w:type="spellStart"/>
            <w:r w:rsidRPr="00FD11F3">
              <w:t>dentaire</w:t>
            </w:r>
            <w:proofErr w:type="spellEnd"/>
            <w:r w:rsidRPr="00FD11F3">
              <w:t xml:space="preserve"> (AA) _ _</w:t>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23A64B60" w14:textId="77777777" w:rsidR="003640B4" w:rsidRPr="003470BA" w:rsidRDefault="003640B4" w:rsidP="00590C17">
            <w:pPr>
              <w:pStyle w:val="NoSpacing"/>
            </w:pPr>
          </w:p>
        </w:tc>
      </w:tr>
      <w:tr w:rsidR="003640B4" w:rsidRPr="003470BA" w14:paraId="7FE5E44C" w14:textId="46D4AFD9"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61C97422"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08792CAC"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BB380AD" w14:textId="58576502"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205C3D8C" w14:textId="23FE1656"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DB1EF64" w14:textId="2707E1A6" w:rsidR="003640B4" w:rsidRPr="003470BA" w:rsidRDefault="00FD11F3" w:rsidP="00590C17">
            <w:pPr>
              <w:pStyle w:val="NoSpacing"/>
              <w:rPr>
                <w:rFonts w:cs="Segoe UI Symbol"/>
              </w:rPr>
            </w:pPr>
            <w:r w:rsidRPr="00FD11F3">
              <w:rPr>
                <w:lang w:val="fr-CA"/>
              </w:rPr>
              <w:t>Dernier examen de la vue (AA) _ _</w:t>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686AE2FC" w14:textId="77777777" w:rsidR="003640B4" w:rsidRPr="003470BA" w:rsidRDefault="003640B4" w:rsidP="00590C17">
            <w:pPr>
              <w:pStyle w:val="NoSpacing"/>
            </w:pPr>
          </w:p>
        </w:tc>
      </w:tr>
      <w:tr w:rsidR="003640B4" w:rsidRPr="003470BA" w14:paraId="00731B63" w14:textId="2768EC38"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3174318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519C832C"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7C61103D" w14:textId="040A7649"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32B8EB86" w14:textId="63670FC8"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7B3034CA" w14:textId="1DC23BB4" w:rsidR="003640B4" w:rsidRPr="003470BA" w:rsidRDefault="00FD11F3" w:rsidP="00590C17">
            <w:pPr>
              <w:pStyle w:val="NoSpacing"/>
            </w:pPr>
            <w:r w:rsidRPr="00FD11F3">
              <w:t xml:space="preserve">Dernier examen </w:t>
            </w:r>
            <w:proofErr w:type="spellStart"/>
            <w:r w:rsidRPr="00FD11F3">
              <w:t>auditif</w:t>
            </w:r>
            <w:proofErr w:type="spellEnd"/>
            <w:r w:rsidRPr="00FD11F3">
              <w:t xml:space="preserve"> (AA) _ _</w:t>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7F3AEBCB" w14:textId="77777777" w:rsidR="003640B4" w:rsidRPr="003470BA" w:rsidRDefault="003640B4" w:rsidP="00590C17">
            <w:pPr>
              <w:pStyle w:val="NoSpacing"/>
            </w:pPr>
          </w:p>
        </w:tc>
      </w:tr>
      <w:tr w:rsidR="003640B4" w:rsidRPr="003470BA" w14:paraId="05A5D460" w14:textId="554F6F54"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AEE4449"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01BE7B84"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0395317A" w14:textId="2BCE9D28"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0D97C37B" w14:textId="4F8A66A8"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2330BF6" w14:textId="4B678A46" w:rsidR="003640B4" w:rsidRPr="003470BA" w:rsidRDefault="00FD11F3" w:rsidP="00590C17">
            <w:pPr>
              <w:pStyle w:val="NoSpacing"/>
              <w:rPr>
                <w:rFonts w:cs="Segoe UI Symbol"/>
              </w:rPr>
            </w:pPr>
            <w:proofErr w:type="spellStart"/>
            <w:r w:rsidRPr="00FD11F3">
              <w:t>Cardiovasculaire</w:t>
            </w:r>
            <w:proofErr w:type="spellEnd"/>
            <w:r w:rsidR="003640B4" w:rsidRPr="003470BA">
              <w:rPr>
                <w:rStyle w:val="EndnoteReference"/>
              </w:rPr>
              <w:endnoteReference w:id="17"/>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636EC500" w14:textId="77777777" w:rsidR="003640B4" w:rsidRPr="003470BA" w:rsidRDefault="003640B4" w:rsidP="00590C17">
            <w:pPr>
              <w:pStyle w:val="NoSpacing"/>
            </w:pPr>
          </w:p>
        </w:tc>
      </w:tr>
      <w:tr w:rsidR="003640B4" w:rsidRPr="003470BA" w14:paraId="24A9F4AC" w14:textId="608608D6"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45D1078B"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7F1B40D3"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5392DCFB" w14:textId="592AD18D"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4346C9D" w14:textId="11FE83AF"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A379E4D" w14:textId="0192FC35" w:rsidR="003640B4" w:rsidRPr="003470BA" w:rsidRDefault="00FD11F3" w:rsidP="00590C17">
            <w:pPr>
              <w:pStyle w:val="NoSpacing"/>
              <w:rPr>
                <w:rFonts w:cs="Segoe UI Symbol"/>
              </w:rPr>
            </w:pPr>
            <w:proofErr w:type="spellStart"/>
            <w:r w:rsidRPr="00FD11F3">
              <w:t>Respiratoire</w:t>
            </w:r>
            <w:proofErr w:type="spellEnd"/>
            <w:r w:rsidR="003640B4" w:rsidRPr="003470BA">
              <w:rPr>
                <w:rStyle w:val="EndnoteReference"/>
              </w:rPr>
              <w:endnoteReference w:id="18"/>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110DEB1D" w14:textId="77777777" w:rsidR="003640B4" w:rsidRPr="003470BA" w:rsidRDefault="003640B4" w:rsidP="00590C17">
            <w:pPr>
              <w:pStyle w:val="NoSpacing"/>
            </w:pPr>
          </w:p>
        </w:tc>
      </w:tr>
      <w:tr w:rsidR="003640B4" w:rsidRPr="003470BA" w14:paraId="7DCC1784" w14:textId="6428252D"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271C3FD4"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01C97D96"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9E3A79B" w14:textId="034E9F83"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1DA19D0F" w14:textId="06F49C94"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C131852" w14:textId="5D8EA0DF" w:rsidR="003640B4" w:rsidRPr="003470BA" w:rsidRDefault="00FD11F3" w:rsidP="00590C17">
            <w:pPr>
              <w:pStyle w:val="NoSpacing"/>
              <w:rPr>
                <w:rFonts w:cs="Segoe UI Symbol"/>
              </w:rPr>
            </w:pPr>
            <w:r w:rsidRPr="00FD11F3">
              <w:t>Gastrointestinal</w:t>
            </w:r>
            <w:r w:rsidR="003640B4" w:rsidRPr="003470BA">
              <w:rPr>
                <w:rStyle w:val="EndnoteReference"/>
              </w:rPr>
              <w:endnoteReference w:id="19"/>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7327285B" w14:textId="77777777" w:rsidR="003640B4" w:rsidRPr="003470BA" w:rsidRDefault="003640B4" w:rsidP="00590C17">
            <w:pPr>
              <w:pStyle w:val="NoSpacing"/>
            </w:pPr>
          </w:p>
        </w:tc>
      </w:tr>
      <w:tr w:rsidR="003640B4" w:rsidRPr="003470BA" w14:paraId="58536AA2" w14:textId="43B5FDA1" w:rsidTr="002108AA">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19AF0C1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6B6F2F1C"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36F28D4" w14:textId="1665098F"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7A7E16F7" w14:textId="6D39A00F"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2440CA6" w14:textId="24CD64F6" w:rsidR="003640B4" w:rsidRPr="003470BA" w:rsidRDefault="00FD11F3" w:rsidP="00590C17">
            <w:pPr>
              <w:pStyle w:val="NoSpacing"/>
              <w:rPr>
                <w:rFonts w:cs="Segoe UI Symbol"/>
              </w:rPr>
            </w:pPr>
            <w:proofErr w:type="spellStart"/>
            <w:r w:rsidRPr="00FD11F3">
              <w:t>Appareil</w:t>
            </w:r>
            <w:proofErr w:type="spellEnd"/>
            <w:r w:rsidRPr="00FD11F3">
              <w:t xml:space="preserve"> </w:t>
            </w:r>
            <w:proofErr w:type="spellStart"/>
            <w:r w:rsidRPr="00FD11F3">
              <w:t>urogénital</w:t>
            </w:r>
            <w:proofErr w:type="spellEnd"/>
            <w:r w:rsidR="003640B4" w:rsidRPr="003470BA">
              <w:rPr>
                <w:rStyle w:val="EndnoteReference"/>
              </w:rPr>
              <w:endnoteReference w:id="20"/>
            </w:r>
          </w:p>
        </w:tc>
        <w:tc>
          <w:tcPr>
            <w:tcW w:w="3892" w:type="dxa"/>
            <w:tcBorders>
              <w:top w:val="single" w:sz="4" w:space="0" w:color="FFFFFF" w:themeColor="background1"/>
              <w:left w:val="dotted" w:sz="8" w:space="0" w:color="BFBFBF" w:themeColor="background1" w:themeShade="BF"/>
              <w:bottom w:val="single" w:sz="4" w:space="0" w:color="D0CECE" w:themeColor="background2" w:themeShade="E6"/>
              <w:right w:val="single" w:sz="4" w:space="0" w:color="BFBFBF" w:themeColor="background1" w:themeShade="BF"/>
            </w:tcBorders>
          </w:tcPr>
          <w:p w14:paraId="37CFEC2B" w14:textId="77777777" w:rsidR="003640B4" w:rsidRPr="003470BA" w:rsidRDefault="003640B4" w:rsidP="00590C17">
            <w:pPr>
              <w:pStyle w:val="NoSpacing"/>
            </w:pPr>
          </w:p>
        </w:tc>
      </w:tr>
      <w:tr w:rsidR="003640B4" w:rsidRPr="003470BA" w14:paraId="2411EC0D" w14:textId="2A3F442B" w:rsidTr="002108AA">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132E9E0C" w14:textId="77777777" w:rsidR="003640B4" w:rsidRPr="003470BA" w:rsidRDefault="003640B4" w:rsidP="00E9742C">
            <w:pPr>
              <w:pStyle w:val="NoSpacing"/>
              <w:jc w:val="center"/>
            </w:pPr>
            <w:r w:rsidRPr="003470BA">
              <w:rPr>
                <w:rFonts w:ascii="Segoe UI Symbol" w:hAnsi="Segoe UI Symbol" w:cs="Segoe UI Symbol"/>
              </w:rPr>
              <w:lastRenderedPageBreak/>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7E71F9FD"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7590519F" w14:textId="5CCAC50E"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3C984490" w14:textId="358E1A76"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88B0F45" w14:textId="4BFE6BB1" w:rsidR="003640B4" w:rsidRPr="003470BA" w:rsidRDefault="00FD11F3" w:rsidP="00590C17">
            <w:pPr>
              <w:pStyle w:val="NoSpacing"/>
              <w:rPr>
                <w:rFonts w:cs="Segoe UI Symbol"/>
              </w:rPr>
            </w:pPr>
            <w:proofErr w:type="spellStart"/>
            <w:r w:rsidRPr="00FD11F3">
              <w:t>Santé</w:t>
            </w:r>
            <w:proofErr w:type="spellEnd"/>
            <w:r w:rsidRPr="00FD11F3">
              <w:t xml:space="preserve"> </w:t>
            </w:r>
            <w:proofErr w:type="spellStart"/>
            <w:r w:rsidRPr="00FD11F3">
              <w:t>sexuelle</w:t>
            </w:r>
            <w:proofErr w:type="spellEnd"/>
            <w:r w:rsidR="003640B4" w:rsidRPr="003470BA">
              <w:rPr>
                <w:rStyle w:val="EndnoteReference"/>
              </w:rPr>
              <w:endnoteReference w:id="21"/>
            </w:r>
          </w:p>
        </w:tc>
        <w:tc>
          <w:tcPr>
            <w:tcW w:w="3892" w:type="dxa"/>
            <w:tcBorders>
              <w:top w:val="single" w:sz="4" w:space="0" w:color="D0CECE" w:themeColor="background2" w:themeShade="E6"/>
              <w:left w:val="dotted" w:sz="8" w:space="0" w:color="BFBFBF" w:themeColor="background1" w:themeShade="BF"/>
              <w:bottom w:val="single" w:sz="4" w:space="0" w:color="FFFFFF" w:themeColor="background1"/>
              <w:right w:val="single" w:sz="4" w:space="0" w:color="BFBFBF" w:themeColor="background1" w:themeShade="BF"/>
            </w:tcBorders>
          </w:tcPr>
          <w:p w14:paraId="5826F7D1" w14:textId="77777777" w:rsidR="003640B4" w:rsidRPr="003470BA" w:rsidRDefault="003640B4" w:rsidP="00590C17">
            <w:pPr>
              <w:pStyle w:val="NoSpacing"/>
            </w:pPr>
          </w:p>
        </w:tc>
      </w:tr>
      <w:tr w:rsidR="003640B4" w:rsidRPr="003470BA" w14:paraId="5DE4E1EA" w14:textId="4C5E7439" w:rsidTr="00CF374F">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E996B43"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3EB4E08D"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3C175AB0" w14:textId="5A5BD61B"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66FEE721" w14:textId="5AEFCE05"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BF5CAFB" w14:textId="269C4F0D" w:rsidR="003640B4" w:rsidRPr="003470BA" w:rsidRDefault="00FD11F3" w:rsidP="00590C17">
            <w:pPr>
              <w:pStyle w:val="NoSpacing"/>
              <w:rPr>
                <w:rFonts w:cs="Segoe UI Symbol"/>
              </w:rPr>
            </w:pPr>
            <w:proofErr w:type="spellStart"/>
            <w:r w:rsidRPr="00FD11F3">
              <w:t>Musculosquelettique</w:t>
            </w:r>
            <w:proofErr w:type="spellEnd"/>
            <w:r w:rsidR="003640B4" w:rsidRPr="003470BA">
              <w:rPr>
                <w:rStyle w:val="EndnoteReference"/>
              </w:rPr>
              <w:endnoteReference w:id="22"/>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5E9D8865" w14:textId="77777777" w:rsidR="003640B4" w:rsidRPr="003470BA" w:rsidRDefault="003640B4" w:rsidP="00590C17">
            <w:pPr>
              <w:pStyle w:val="NoSpacing"/>
            </w:pPr>
          </w:p>
        </w:tc>
      </w:tr>
      <w:tr w:rsidR="003640B4" w:rsidRPr="003470BA" w14:paraId="4BE1D663" w14:textId="56B9A5EE" w:rsidTr="00D27C4F">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30BBB47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2C05EBC7"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7A3308E2" w14:textId="1830E5F0"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12E8ACE8" w14:textId="28BE2C56"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33DFBDA" w14:textId="259EC33C" w:rsidR="003640B4" w:rsidRPr="003470BA" w:rsidRDefault="00FD11F3" w:rsidP="00590C17">
            <w:pPr>
              <w:pStyle w:val="NoSpacing"/>
              <w:rPr>
                <w:rFonts w:cs="Segoe UI Symbol"/>
              </w:rPr>
            </w:pPr>
            <w:proofErr w:type="spellStart"/>
            <w:r w:rsidRPr="00FD11F3">
              <w:t>Peau</w:t>
            </w:r>
            <w:proofErr w:type="spellEnd"/>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2B1F6E42" w14:textId="77777777" w:rsidR="003640B4" w:rsidRPr="003470BA" w:rsidRDefault="003640B4" w:rsidP="00590C17">
            <w:pPr>
              <w:pStyle w:val="NoSpacing"/>
            </w:pPr>
          </w:p>
        </w:tc>
      </w:tr>
      <w:tr w:rsidR="003640B4" w:rsidRPr="003470BA" w14:paraId="438F1D09" w14:textId="55E03B1E" w:rsidTr="00D27C4F">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31EA7B4B"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0B88B23C"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162A4DF0" w14:textId="791F7C05"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6FFCB51E" w14:textId="53ABA630"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4CBD444C" w14:textId="3B1A2CA9" w:rsidR="003640B4" w:rsidRPr="003470BA" w:rsidRDefault="00FD11F3" w:rsidP="00590C17">
            <w:pPr>
              <w:pStyle w:val="NoSpacing"/>
            </w:pPr>
            <w:proofErr w:type="spellStart"/>
            <w:r w:rsidRPr="00FD11F3">
              <w:t>Neurologique</w:t>
            </w:r>
            <w:proofErr w:type="spellEnd"/>
            <w:r w:rsidR="003640B4" w:rsidRPr="003470BA">
              <w:rPr>
                <w:rStyle w:val="EndnoteReference"/>
              </w:rPr>
              <w:endnoteReference w:id="23"/>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1648D8D3" w14:textId="77777777" w:rsidR="003640B4" w:rsidRPr="003470BA" w:rsidRDefault="003640B4" w:rsidP="00590C17">
            <w:pPr>
              <w:pStyle w:val="NoSpacing"/>
            </w:pPr>
          </w:p>
        </w:tc>
      </w:tr>
      <w:tr w:rsidR="003640B4" w:rsidRPr="003470BA" w14:paraId="70328592" w14:textId="0E633887" w:rsidTr="00CF374F">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6459C15A"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625B86CA"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6C4EDF34" w14:textId="333D48F8"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28D5B658" w14:textId="1B0A7660"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9C1098A" w14:textId="62486145" w:rsidR="003640B4" w:rsidRPr="003470BA" w:rsidRDefault="003640B4" w:rsidP="00590C17">
            <w:pPr>
              <w:pStyle w:val="NoSpacing"/>
            </w:pPr>
            <w:r w:rsidRPr="003470BA">
              <w:t>Endocrine</w:t>
            </w:r>
            <w:r w:rsidRPr="003470BA">
              <w:rPr>
                <w:rStyle w:val="EndnoteReference"/>
              </w:rPr>
              <w:endnoteReference w:id="24"/>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0F7C3B22" w14:textId="77777777" w:rsidR="003640B4" w:rsidRPr="003470BA" w:rsidRDefault="003640B4" w:rsidP="00590C17">
            <w:pPr>
              <w:pStyle w:val="NoSpacing"/>
            </w:pPr>
          </w:p>
        </w:tc>
      </w:tr>
      <w:tr w:rsidR="003640B4" w:rsidRPr="003470BA" w14:paraId="15D2FFBF" w14:textId="2101E561" w:rsidTr="00CF374F">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D3B28CD"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41991691"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9038734" w14:textId="7BD9C0B4"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07669728" w14:textId="26DB5F0A"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5C19507" w14:textId="346B640D" w:rsidR="003640B4" w:rsidRPr="003470BA" w:rsidRDefault="003640B4" w:rsidP="00590C17">
            <w:pPr>
              <w:pStyle w:val="NoSpacing"/>
            </w:pPr>
            <w:r w:rsidRPr="003470BA">
              <w:t>Infections</w:t>
            </w:r>
            <w:r w:rsidRPr="003470BA">
              <w:rPr>
                <w:rStyle w:val="EndnoteReference"/>
              </w:rPr>
              <w:endnoteReference w:id="25"/>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60C98431" w14:textId="77777777" w:rsidR="003640B4" w:rsidRPr="003470BA" w:rsidRDefault="003640B4" w:rsidP="00590C17">
            <w:pPr>
              <w:pStyle w:val="NoSpacing"/>
            </w:pPr>
          </w:p>
        </w:tc>
      </w:tr>
      <w:tr w:rsidR="003640B4" w:rsidRPr="003470BA" w14:paraId="28CDD586" w14:textId="77165500"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AAA125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498E3FD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7132EED8" w14:textId="65318A90"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A01BDF8" w14:textId="13700EA6"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FE1A358" w14:textId="75F75049" w:rsidR="003640B4" w:rsidRPr="003470BA" w:rsidRDefault="00FD11F3" w:rsidP="00590C17">
            <w:pPr>
              <w:pStyle w:val="NoSpacing"/>
            </w:pPr>
            <w:proofErr w:type="spellStart"/>
            <w:r w:rsidRPr="00FD11F3">
              <w:t>Dépistage</w:t>
            </w:r>
            <w:proofErr w:type="spellEnd"/>
            <w:r w:rsidRPr="00FD11F3">
              <w:t xml:space="preserve"> du cancer</w:t>
            </w:r>
            <w:r w:rsidRPr="00FD11F3">
              <w:rPr>
                <w:vertAlign w:val="superscript"/>
              </w:rPr>
              <w:t xml:space="preserve"> </w:t>
            </w:r>
            <w:r w:rsidR="003640B4" w:rsidRPr="003470BA">
              <w:rPr>
                <w:rStyle w:val="EndnoteReference"/>
              </w:rPr>
              <w:endnoteReference w:id="26"/>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2EC7E4CD" w14:textId="77777777" w:rsidR="003640B4" w:rsidRPr="003470BA" w:rsidRDefault="003640B4" w:rsidP="00590C17">
            <w:pPr>
              <w:pStyle w:val="NoSpacing"/>
            </w:pPr>
          </w:p>
        </w:tc>
      </w:tr>
      <w:tr w:rsidR="003640B4" w:rsidRPr="003470BA" w14:paraId="4F3D47E4" w14:textId="0276B53E" w:rsidTr="00047872">
        <w:trPr>
          <w:trHeight w:val="144"/>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7B853A5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411AF796"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42991E51" w14:textId="7B952815"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072CE7B0" w14:textId="540457EF"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0C111BE" w14:textId="4DF577A0" w:rsidR="003640B4" w:rsidRPr="003470BA" w:rsidRDefault="00FD11F3" w:rsidP="00590C17">
            <w:pPr>
              <w:pStyle w:val="NoSpacing"/>
            </w:pPr>
            <w:proofErr w:type="spellStart"/>
            <w:r w:rsidRPr="00FD11F3">
              <w:t>Santé</w:t>
            </w:r>
            <w:proofErr w:type="spellEnd"/>
            <w:r w:rsidRPr="00FD11F3">
              <w:t xml:space="preserve"> </w:t>
            </w:r>
            <w:proofErr w:type="spellStart"/>
            <w:r w:rsidRPr="00FD11F3">
              <w:t>mentale</w:t>
            </w:r>
            <w:proofErr w:type="spellEnd"/>
            <w:r w:rsidR="003640B4" w:rsidRPr="003470BA">
              <w:rPr>
                <w:rStyle w:val="EndnoteReference"/>
              </w:rPr>
              <w:endnoteReference w:id="27"/>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1F13C811" w14:textId="77777777" w:rsidR="003640B4" w:rsidRPr="003470BA" w:rsidRDefault="003640B4" w:rsidP="00590C17">
            <w:pPr>
              <w:pStyle w:val="NoSpacing"/>
            </w:pPr>
          </w:p>
        </w:tc>
      </w:tr>
      <w:tr w:rsidR="003640B4" w:rsidRPr="003470BA" w14:paraId="059C6876" w14:textId="5E4C576E"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7CFBD7FB"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6499B67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77F8C312" w14:textId="4D930FD0"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1D608852" w14:textId="2DF77DE0"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B5A7228" w14:textId="40C72C16" w:rsidR="003640B4" w:rsidRPr="003470BA" w:rsidRDefault="00FD11F3" w:rsidP="00590C17">
            <w:pPr>
              <w:pStyle w:val="NoSpacing"/>
            </w:pPr>
            <w:r w:rsidRPr="00FD11F3">
              <w:rPr>
                <w:lang w:val="fr-CA"/>
              </w:rPr>
              <w:t>Comportements qui représentent un défi</w:t>
            </w:r>
            <w:r w:rsidRPr="00FD11F3">
              <w:rPr>
                <w:vertAlign w:val="superscript"/>
              </w:rPr>
              <w:t xml:space="preserve"> </w:t>
            </w:r>
            <w:r w:rsidR="003640B4" w:rsidRPr="003470BA">
              <w:rPr>
                <w:rStyle w:val="EndnoteReference"/>
              </w:rPr>
              <w:endnoteReference w:id="28"/>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31C305C8" w14:textId="77777777" w:rsidR="003640B4" w:rsidRPr="003470BA" w:rsidRDefault="003640B4" w:rsidP="00590C17">
            <w:pPr>
              <w:pStyle w:val="NoSpacing"/>
            </w:pPr>
          </w:p>
        </w:tc>
      </w:tr>
      <w:tr w:rsidR="003640B4" w:rsidRPr="003470BA" w14:paraId="3C5C9915" w14:textId="4B8AD061"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C6038E1"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7272EA8C"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3D9D02C2" w14:textId="7037761B"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B7F96BB" w14:textId="0FDB64FA"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78C65DFF" w14:textId="13051641" w:rsidR="003640B4" w:rsidRPr="003470BA" w:rsidRDefault="00FD11F3" w:rsidP="00590C17">
            <w:pPr>
              <w:pStyle w:val="NoSpacing"/>
            </w:pPr>
            <w:proofErr w:type="spellStart"/>
            <w:r w:rsidRPr="00FD11F3">
              <w:t>Démence</w:t>
            </w:r>
            <w:proofErr w:type="spellEnd"/>
            <w:r w:rsidR="003640B4" w:rsidRPr="003470BA">
              <w:rPr>
                <w:rStyle w:val="EndnoteReference"/>
              </w:rPr>
              <w:endnoteReference w:id="29"/>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2768F062" w14:textId="77777777" w:rsidR="003640B4" w:rsidRPr="003470BA" w:rsidRDefault="003640B4" w:rsidP="00590C17">
            <w:pPr>
              <w:pStyle w:val="NoSpacing"/>
            </w:pPr>
          </w:p>
        </w:tc>
      </w:tr>
      <w:tr w:rsidR="003640B4" w:rsidRPr="003470BA" w14:paraId="126180DD" w14:textId="6BE253C4"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4769910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37ED5737"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737B020" w14:textId="7524AC7B"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1E6C789E" w14:textId="7C8D480F"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425C19B1" w14:textId="23F1971B" w:rsidR="003640B4" w:rsidRPr="003470BA" w:rsidRDefault="00FD11F3" w:rsidP="00590C17">
            <w:pPr>
              <w:pStyle w:val="NoSpacing"/>
            </w:pPr>
            <w:r w:rsidRPr="00FD11F3">
              <w:t>Transitions de vie</w:t>
            </w:r>
            <w:r w:rsidRPr="00FD11F3">
              <w:rPr>
                <w:vertAlign w:val="superscript"/>
              </w:rPr>
              <w:t xml:space="preserve"> </w:t>
            </w:r>
            <w:r w:rsidR="003640B4" w:rsidRPr="003470BA">
              <w:rPr>
                <w:rStyle w:val="EndnoteReference"/>
              </w:rPr>
              <w:endnoteReference w:id="30"/>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64B4649D" w14:textId="77777777" w:rsidR="003640B4" w:rsidRPr="003470BA" w:rsidRDefault="003640B4" w:rsidP="00590C17">
            <w:pPr>
              <w:pStyle w:val="NoSpacing"/>
            </w:pPr>
          </w:p>
        </w:tc>
      </w:tr>
      <w:tr w:rsidR="003640B4" w:rsidRPr="003470BA" w14:paraId="447BB248" w14:textId="0557835A"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419950C9"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31BD1932"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3E7C5567" w14:textId="03A3A8E8"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2E519C6" w14:textId="0B574125"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A1A9419" w14:textId="4C4552D4" w:rsidR="003640B4" w:rsidRPr="003470BA" w:rsidRDefault="00FD11F3" w:rsidP="00590C17">
            <w:pPr>
              <w:pStyle w:val="NoSpacing"/>
            </w:pPr>
            <w:proofErr w:type="spellStart"/>
            <w:r w:rsidRPr="00FD11F3">
              <w:t>Maltraitance</w:t>
            </w:r>
            <w:proofErr w:type="spellEnd"/>
            <w:r w:rsidRPr="00FD11F3">
              <w:t xml:space="preserve">, exploitation, </w:t>
            </w:r>
            <w:proofErr w:type="spellStart"/>
            <w:r w:rsidRPr="00FD11F3">
              <w:t>négligence</w:t>
            </w:r>
            <w:proofErr w:type="spellEnd"/>
            <w:r w:rsidR="003640B4" w:rsidRPr="003470BA">
              <w:rPr>
                <w:rStyle w:val="EndnoteReference"/>
              </w:rPr>
              <w:endnoteReference w:id="31"/>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0956B56B" w14:textId="77777777" w:rsidR="003640B4" w:rsidRPr="003470BA" w:rsidRDefault="003640B4" w:rsidP="00590C17">
            <w:pPr>
              <w:pStyle w:val="NoSpacing"/>
            </w:pPr>
          </w:p>
        </w:tc>
      </w:tr>
      <w:tr w:rsidR="003640B4" w:rsidRPr="003470BA" w14:paraId="68CDC88E" w14:textId="7C173F67"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58734767"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59870CB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CFEA6B6" w14:textId="7AD951A1"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404E67BD" w14:textId="4F4D2B90"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AEE8C6A" w14:textId="7C4EDD35" w:rsidR="003640B4" w:rsidRPr="003470BA" w:rsidRDefault="00FD11F3" w:rsidP="00590C17">
            <w:pPr>
              <w:pStyle w:val="NoSpacing"/>
            </w:pPr>
            <w:r w:rsidRPr="00FD11F3">
              <w:rPr>
                <w:lang w:val="fr-CA"/>
              </w:rPr>
              <w:t>Stress des aidants</w:t>
            </w:r>
            <w:r w:rsidR="003640B4" w:rsidRPr="003470BA">
              <w:rPr>
                <w:rStyle w:val="EndnoteReference"/>
              </w:rPr>
              <w:endnoteReference w:id="32"/>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22E83B2B" w14:textId="77777777" w:rsidR="003640B4" w:rsidRPr="003470BA" w:rsidRDefault="003640B4" w:rsidP="00590C17">
            <w:pPr>
              <w:pStyle w:val="NoSpacing"/>
            </w:pPr>
          </w:p>
        </w:tc>
      </w:tr>
      <w:tr w:rsidR="003640B4" w:rsidRPr="003470BA" w14:paraId="6C98B838" w14:textId="668ED505"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3993D317"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7715FB95"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tcPr>
          <w:p w14:paraId="2161885B" w14:textId="62B7746D"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tcPr>
          <w:p w14:paraId="35B8BD09" w14:textId="4BCF59C9"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B38E208" w14:textId="44E6A427" w:rsidR="003640B4" w:rsidRPr="003470BA" w:rsidRDefault="00FD11F3" w:rsidP="00590C17">
            <w:pPr>
              <w:pStyle w:val="NoSpacing"/>
            </w:pPr>
            <w:proofErr w:type="spellStart"/>
            <w:r w:rsidRPr="00FD11F3">
              <w:t>Révision</w:t>
            </w:r>
            <w:proofErr w:type="spellEnd"/>
            <w:r w:rsidRPr="00FD11F3">
              <w:t xml:space="preserve"> des </w:t>
            </w:r>
            <w:proofErr w:type="spellStart"/>
            <w:r w:rsidRPr="00FD11F3">
              <w:t>médicaments</w:t>
            </w:r>
            <w:proofErr w:type="spellEnd"/>
            <w:r w:rsidR="003640B4" w:rsidRPr="003470BA">
              <w:rPr>
                <w:rStyle w:val="EndnoteReference"/>
              </w:rPr>
              <w:endnoteReference w:id="33"/>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108F096B" w14:textId="77777777" w:rsidR="003640B4" w:rsidRPr="003470BA" w:rsidRDefault="003640B4" w:rsidP="00590C17">
            <w:pPr>
              <w:pStyle w:val="NoSpacing"/>
            </w:pPr>
          </w:p>
        </w:tc>
      </w:tr>
      <w:tr w:rsidR="003640B4" w:rsidRPr="003470BA" w14:paraId="0B00CAD1" w14:textId="5EFD18D3" w:rsidTr="00047872">
        <w:trPr>
          <w:trHeight w:val="187"/>
        </w:trPr>
        <w:tc>
          <w:tcPr>
            <w:tcW w:w="838"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39E0282B"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tcPr>
          <w:p w14:paraId="6771BBC8"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4" w:space="0" w:color="BFBFBF" w:themeColor="background1" w:themeShade="BF"/>
              <w:right w:val="dotted" w:sz="8" w:space="0" w:color="BFBFBF" w:themeColor="background1" w:themeShade="BF"/>
            </w:tcBorders>
            <w:tcMar>
              <w:left w:w="58" w:type="dxa"/>
              <w:right w:w="58" w:type="dxa"/>
            </w:tcMar>
          </w:tcPr>
          <w:p w14:paraId="113DD069" w14:textId="5CC83AD5"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4" w:space="0" w:color="BFBFBF" w:themeColor="background1" w:themeShade="BF"/>
              <w:right w:val="dotted" w:sz="8" w:space="0" w:color="BFBFBF" w:themeColor="background1" w:themeShade="BF"/>
            </w:tcBorders>
            <w:tcMar>
              <w:left w:w="58" w:type="dxa"/>
              <w:right w:w="58" w:type="dxa"/>
            </w:tcMar>
          </w:tcPr>
          <w:p w14:paraId="0B70FD14" w14:textId="14C32CCF"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8A98CD6" w14:textId="7C8DE74C" w:rsidR="003640B4" w:rsidRPr="003470BA" w:rsidRDefault="000C277B" w:rsidP="00590C17">
            <w:pPr>
              <w:pStyle w:val="NoSpacing"/>
            </w:pPr>
            <w:r w:rsidRPr="000C277B">
              <w:rPr>
                <w:lang w:val="fr-CA"/>
              </w:rPr>
              <w:t>Mesures préventives et de dépistage examinées</w:t>
            </w:r>
            <w:r w:rsidRPr="000C277B">
              <w:rPr>
                <w:vertAlign w:val="superscript"/>
              </w:rPr>
              <w:t xml:space="preserve"> </w:t>
            </w:r>
            <w:r w:rsidR="003640B4" w:rsidRPr="003470BA">
              <w:rPr>
                <w:rStyle w:val="EndnoteReference"/>
              </w:rPr>
              <w:endnoteReference w:id="34"/>
            </w:r>
          </w:p>
        </w:tc>
        <w:tc>
          <w:tcPr>
            <w:tcW w:w="3892" w:type="dxa"/>
            <w:tcBorders>
              <w:top w:val="single" w:sz="4" w:space="0" w:color="FFFFFF" w:themeColor="background1"/>
              <w:left w:val="dotted" w:sz="8" w:space="0" w:color="BFBFBF" w:themeColor="background1" w:themeShade="BF"/>
              <w:bottom w:val="single" w:sz="4" w:space="0" w:color="FFFFFF" w:themeColor="background1"/>
              <w:right w:val="single" w:sz="4" w:space="0" w:color="BFBFBF" w:themeColor="background1" w:themeShade="BF"/>
            </w:tcBorders>
          </w:tcPr>
          <w:p w14:paraId="2EAE458C" w14:textId="77777777" w:rsidR="003640B4" w:rsidRPr="003470BA" w:rsidRDefault="003640B4" w:rsidP="00590C17">
            <w:pPr>
              <w:pStyle w:val="NoSpacing"/>
            </w:pPr>
          </w:p>
        </w:tc>
      </w:tr>
      <w:tr w:rsidR="003640B4" w:rsidRPr="003470BA" w14:paraId="04AC0E5C" w14:textId="5414A730" w:rsidTr="00047872">
        <w:trPr>
          <w:trHeight w:val="187"/>
        </w:trPr>
        <w:tc>
          <w:tcPr>
            <w:tcW w:w="838" w:type="dxa"/>
            <w:tcBorders>
              <w:top w:val="single" w:sz="8" w:space="0" w:color="BFBFBF" w:themeColor="background1" w:themeShade="BF"/>
              <w:left w:val="single" w:sz="4" w:space="0" w:color="BFBFBF" w:themeColor="background1" w:themeShade="BF"/>
              <w:bottom w:val="single" w:sz="4"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tcPr>
          <w:p w14:paraId="38715E1C"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4" w:space="0" w:color="BFBFBF" w:themeColor="background1" w:themeShade="BF"/>
              <w:right w:val="nil"/>
            </w:tcBorders>
            <w:shd w:val="clear" w:color="auto" w:fill="F2F2F2" w:themeFill="background1" w:themeFillShade="F2"/>
            <w:tcMar>
              <w:left w:w="58" w:type="dxa"/>
              <w:right w:w="58" w:type="dxa"/>
            </w:tcMar>
          </w:tcPr>
          <w:p w14:paraId="70343C20"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nil"/>
              <w:bottom w:val="single" w:sz="4" w:space="0" w:color="BFBFBF" w:themeColor="background1" w:themeShade="BF"/>
              <w:right w:val="dotted" w:sz="8" w:space="0" w:color="BFBFBF" w:themeColor="background1" w:themeShade="BF"/>
            </w:tcBorders>
            <w:tcMar>
              <w:left w:w="58" w:type="dxa"/>
              <w:right w:w="58" w:type="dxa"/>
            </w:tcMar>
          </w:tcPr>
          <w:p w14:paraId="1EF37D4E" w14:textId="77777777" w:rsidR="003640B4" w:rsidRPr="003470BA" w:rsidRDefault="003640B4" w:rsidP="00E9742C">
            <w:pPr>
              <w:pStyle w:val="NoSpacing"/>
              <w:jc w:val="center"/>
            </w:pPr>
            <w:r w:rsidRPr="003470BA">
              <w:rPr>
                <w:rFonts w:ascii="Segoe UI Symbol" w:hAnsi="Segoe UI Symbol" w:cs="Segoe UI Symbol"/>
              </w:rPr>
              <w:t>☐</w:t>
            </w:r>
          </w:p>
        </w:tc>
        <w:tc>
          <w:tcPr>
            <w:tcW w:w="839" w:type="dxa"/>
            <w:tcBorders>
              <w:top w:val="single" w:sz="8" w:space="0" w:color="BFBFBF" w:themeColor="background1" w:themeShade="BF"/>
              <w:left w:val="dotted" w:sz="8" w:space="0" w:color="BFBFBF" w:themeColor="background1" w:themeShade="BF"/>
              <w:bottom w:val="single" w:sz="4" w:space="0" w:color="BFBFBF" w:themeColor="background1" w:themeShade="BF"/>
              <w:right w:val="dotted" w:sz="8" w:space="0" w:color="BFBFBF" w:themeColor="background1" w:themeShade="BF"/>
            </w:tcBorders>
            <w:tcMar>
              <w:left w:w="58" w:type="dxa"/>
              <w:right w:w="58" w:type="dxa"/>
            </w:tcMar>
          </w:tcPr>
          <w:p w14:paraId="7E1ADF8A" w14:textId="77777777" w:rsidR="003640B4" w:rsidRPr="003470BA" w:rsidRDefault="003640B4" w:rsidP="00E9742C">
            <w:pPr>
              <w:pStyle w:val="NoSpacing"/>
              <w:jc w:val="center"/>
            </w:pPr>
            <w:r w:rsidRPr="003470BA">
              <w:rPr>
                <w:rFonts w:ascii="Segoe UI Symbol" w:hAnsi="Segoe UI Symbol" w:cs="Segoe UI Symbol"/>
              </w:rPr>
              <w:t>☐</w:t>
            </w:r>
          </w:p>
        </w:tc>
        <w:tc>
          <w:tcPr>
            <w:tcW w:w="3733" w:type="dxa"/>
            <w:tcBorders>
              <w:top w:val="single" w:sz="8" w:space="0" w:color="BFBFBF" w:themeColor="background1" w:themeShade="BF"/>
              <w:left w:val="dotted" w:sz="8"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67FEB8E7" w14:textId="7BC77FB7" w:rsidR="003640B4" w:rsidRPr="003470BA" w:rsidRDefault="000C277B" w:rsidP="00590C17">
            <w:pPr>
              <w:pStyle w:val="NoSpacing"/>
              <w:rPr>
                <w:rFonts w:cs="Segoe UI Symbol"/>
              </w:rPr>
            </w:pPr>
            <w:proofErr w:type="spellStart"/>
            <w:r w:rsidRPr="000C277B">
              <w:rPr>
                <w:rFonts w:cs="Segoe UI Symbol"/>
              </w:rPr>
              <w:t>Autre</w:t>
            </w:r>
            <w:proofErr w:type="spellEnd"/>
          </w:p>
        </w:tc>
        <w:tc>
          <w:tcPr>
            <w:tcW w:w="3892" w:type="dxa"/>
            <w:tcBorders>
              <w:top w:val="single" w:sz="4" w:space="0" w:color="FFFFFF" w:themeColor="background1"/>
              <w:left w:val="dotted" w:sz="8" w:space="0" w:color="BFBFBF" w:themeColor="background1" w:themeShade="BF"/>
              <w:bottom w:val="single" w:sz="4" w:space="0" w:color="BFBFBF" w:themeColor="background1" w:themeShade="BF"/>
              <w:right w:val="single" w:sz="4" w:space="0" w:color="BFBFBF" w:themeColor="background1" w:themeShade="BF"/>
            </w:tcBorders>
          </w:tcPr>
          <w:p w14:paraId="375EBDFF" w14:textId="77777777" w:rsidR="003640B4" w:rsidRPr="003470BA" w:rsidRDefault="003640B4" w:rsidP="00590C17">
            <w:pPr>
              <w:pStyle w:val="NoSpacing"/>
              <w:rPr>
                <w:rFonts w:cs="Segoe UI Symbol"/>
              </w:rPr>
            </w:pPr>
          </w:p>
        </w:tc>
      </w:tr>
    </w:tbl>
    <w:p w14:paraId="0F654966" w14:textId="3C636569" w:rsidR="00082CE9" w:rsidRPr="003470BA" w:rsidRDefault="000C277B" w:rsidP="002D5317">
      <w:pPr>
        <w:pStyle w:val="H2"/>
      </w:pPr>
      <w:r w:rsidRPr="007B0654">
        <w:rPr>
          <w:lang w:val="fr-CA"/>
        </w:rPr>
        <w:t>Étape</w:t>
      </w:r>
      <w:r w:rsidR="00082CE9" w:rsidRPr="003470BA">
        <w:t xml:space="preserve"> 5</w:t>
      </w:r>
      <w:r w:rsidR="00D93F0D">
        <w:t>:</w:t>
      </w:r>
      <w:r w:rsidR="00C43D3B">
        <w:t xml:space="preserve"> </w:t>
      </w:r>
      <w:r w:rsidRPr="000C277B">
        <w:rPr>
          <w:rFonts w:ascii="Lato" w:hAnsi="Lato"/>
          <w:b w:val="0"/>
          <w:bCs w:val="0"/>
          <w:lang w:val="fr-CA"/>
        </w:rPr>
        <w:t>Examen Physique</w:t>
      </w:r>
      <w:r w:rsidR="0016538B" w:rsidRPr="00D93F0D">
        <w:rPr>
          <w:rStyle w:val="H2-Subheading"/>
          <w:b w:val="0"/>
          <w:bCs w:val="0"/>
          <w:vertAlign w:val="superscript"/>
        </w:rPr>
        <w:endnoteReference w:id="35"/>
      </w:r>
      <w:r w:rsidR="00C578DE">
        <w:rPr>
          <w:rStyle w:val="H2-Subheading"/>
          <w:b w:val="0"/>
          <w:bCs w:val="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 w:space="0" w:color="D9D9D9" w:themeColor="background1" w:themeShade="D9"/>
        </w:tblBorders>
        <w:tblLayout w:type="fixed"/>
        <w:tblCellMar>
          <w:top w:w="29" w:type="dxa"/>
          <w:left w:w="58" w:type="dxa"/>
          <w:bottom w:w="29" w:type="dxa"/>
          <w:right w:w="58" w:type="dxa"/>
        </w:tblCellMar>
        <w:tblLook w:val="04A0" w:firstRow="1" w:lastRow="0" w:firstColumn="1" w:lastColumn="0" w:noHBand="0" w:noVBand="1"/>
      </w:tblPr>
      <w:tblGrid>
        <w:gridCol w:w="634"/>
        <w:gridCol w:w="641"/>
        <w:gridCol w:w="732"/>
        <w:gridCol w:w="671"/>
        <w:gridCol w:w="671"/>
        <w:gridCol w:w="671"/>
        <w:gridCol w:w="3146"/>
        <w:gridCol w:w="3804"/>
      </w:tblGrid>
      <w:tr w:rsidR="00106000" w:rsidRPr="003470BA" w14:paraId="63174682" w14:textId="77777777" w:rsidTr="00EB6A7A">
        <w:trPr>
          <w:trHeight w:val="20"/>
          <w:tblHeader/>
        </w:trPr>
        <w:tc>
          <w:tcPr>
            <w:tcW w:w="2008" w:type="dxa"/>
            <w:gridSpan w:val="3"/>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tcMar>
              <w:left w:w="58" w:type="dxa"/>
              <w:right w:w="58" w:type="dxa"/>
            </w:tcMar>
            <w:vAlign w:val="center"/>
          </w:tcPr>
          <w:p w14:paraId="6DC959AD" w14:textId="075282FC" w:rsidR="00106000" w:rsidRPr="003470BA" w:rsidRDefault="007D02AA" w:rsidP="00AB0342">
            <w:pPr>
              <w:pStyle w:val="H3"/>
              <w:jc w:val="center"/>
            </w:pPr>
            <w:r w:rsidRPr="007D02AA">
              <w:t>1</w:t>
            </w:r>
            <w:r w:rsidRPr="007D02AA">
              <w:rPr>
                <w:vertAlign w:val="superscript"/>
              </w:rPr>
              <w:t>re</w:t>
            </w:r>
            <w:r w:rsidRPr="007D02AA">
              <w:t xml:space="preserve"> </w:t>
            </w:r>
            <w:proofErr w:type="spellStart"/>
            <w:r w:rsidRPr="007D02AA">
              <w:t>année</w:t>
            </w:r>
            <w:proofErr w:type="spellEnd"/>
          </w:p>
        </w:tc>
        <w:tc>
          <w:tcPr>
            <w:tcW w:w="2013" w:type="dxa"/>
            <w:gridSpan w:val="3"/>
            <w:tcBorders>
              <w:top w:val="single" w:sz="4" w:space="0" w:color="BFBFBF" w:themeColor="background1" w:themeShade="BF"/>
              <w:left w:val="nil"/>
              <w:bottom w:val="nil"/>
              <w:right w:val="single" w:sz="4" w:space="0" w:color="BFBFBF" w:themeColor="background1" w:themeShade="BF"/>
            </w:tcBorders>
            <w:shd w:val="clear" w:color="auto" w:fill="auto"/>
            <w:tcMar>
              <w:left w:w="58" w:type="dxa"/>
              <w:right w:w="58" w:type="dxa"/>
            </w:tcMar>
            <w:vAlign w:val="center"/>
          </w:tcPr>
          <w:p w14:paraId="6082358A" w14:textId="779D22BC" w:rsidR="00106000" w:rsidRPr="003470BA" w:rsidRDefault="007D02AA" w:rsidP="00171C02">
            <w:pPr>
              <w:pStyle w:val="H3"/>
              <w:jc w:val="center"/>
            </w:pPr>
            <w:r w:rsidRPr="007D02AA">
              <w:t>2</w:t>
            </w:r>
            <w:r w:rsidRPr="007D02AA">
              <w:rPr>
                <w:vertAlign w:val="superscript"/>
              </w:rPr>
              <w:t>e</w:t>
            </w:r>
            <w:r w:rsidRPr="007D02AA">
              <w:t xml:space="preserve"> </w:t>
            </w:r>
            <w:proofErr w:type="spellStart"/>
            <w:r w:rsidRPr="007D02AA">
              <w:t>année</w:t>
            </w:r>
            <w:proofErr w:type="spellEnd"/>
          </w:p>
        </w:tc>
        <w:tc>
          <w:tcPr>
            <w:tcW w:w="6954" w:type="dxa"/>
            <w:gridSpan w:val="2"/>
            <w:tcBorders>
              <w:top w:val="single" w:sz="4" w:space="0" w:color="FFFFFF" w:themeColor="background1"/>
              <w:left w:val="single" w:sz="4" w:space="0" w:color="BFBFBF" w:themeColor="background1" w:themeShade="BF"/>
              <w:bottom w:val="nil"/>
              <w:right w:val="single" w:sz="4" w:space="0" w:color="FFFFFF" w:themeColor="background1"/>
            </w:tcBorders>
            <w:tcMar>
              <w:left w:w="58" w:type="dxa"/>
              <w:right w:w="58" w:type="dxa"/>
            </w:tcMar>
          </w:tcPr>
          <w:p w14:paraId="7E4CCB11" w14:textId="77777777" w:rsidR="00106000" w:rsidRPr="003470BA" w:rsidRDefault="00106000" w:rsidP="00BE3ECD">
            <w:pPr>
              <w:pStyle w:val="NoSpacing"/>
            </w:pPr>
          </w:p>
        </w:tc>
      </w:tr>
      <w:tr w:rsidR="00106000" w:rsidRPr="003470BA" w14:paraId="22819E62" w14:textId="77777777" w:rsidTr="00EB6A7A">
        <w:trPr>
          <w:trHeight w:val="187"/>
        </w:trPr>
        <w:tc>
          <w:tcPr>
            <w:tcW w:w="2008" w:type="dxa"/>
            <w:gridSpan w:val="3"/>
            <w:tcBorders>
              <w:left w:val="single" w:sz="4"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2BA4F319" w14:textId="6FCD9D7B" w:rsidR="00106000" w:rsidRPr="00106000" w:rsidRDefault="00AB0342" w:rsidP="00D27C4F">
            <w:pPr>
              <w:pStyle w:val="TableHeaders"/>
              <w:tabs>
                <w:tab w:val="left" w:pos="565"/>
                <w:tab w:val="left" w:pos="1285"/>
              </w:tabs>
              <w:jc w:val="center"/>
            </w:pPr>
            <w:r w:rsidRPr="00106000">
              <w:t>Normal</w:t>
            </w:r>
            <w:r>
              <w:t xml:space="preserve"> </w:t>
            </w:r>
            <w:r>
              <w:rPr>
                <w:rStyle w:val="H2-Subheading"/>
                <w:b w:val="0"/>
                <w:bCs w:val="0"/>
              </w:rPr>
              <w:tab/>
            </w:r>
            <w:r w:rsidR="00D27C4F" w:rsidRPr="00D27C4F">
              <w:t>Anorma</w:t>
            </w:r>
            <w:r w:rsidR="00D27C4F">
              <w:t>l</w:t>
            </w:r>
            <w:r>
              <w:rPr>
                <w:rStyle w:val="H2-Subheading"/>
                <w:b w:val="0"/>
                <w:bCs w:val="0"/>
              </w:rPr>
              <w:tab/>
            </w:r>
            <w:r>
              <w:t xml:space="preserve"> </w:t>
            </w:r>
            <w:r w:rsidR="00D27C4F" w:rsidRPr="00D27C4F">
              <w:t>Pas fai</w:t>
            </w:r>
            <w:r w:rsidR="00D27C4F">
              <w:t>t</w:t>
            </w:r>
          </w:p>
        </w:tc>
        <w:tc>
          <w:tcPr>
            <w:tcW w:w="2013" w:type="dxa"/>
            <w:gridSpan w:val="3"/>
            <w:tcBorders>
              <w:top w:val="nil"/>
              <w:left w:val="nil"/>
              <w:bottom w:val="single" w:sz="8" w:space="0" w:color="BFBFBF" w:themeColor="background1" w:themeShade="BF"/>
            </w:tcBorders>
            <w:tcMar>
              <w:left w:w="58" w:type="dxa"/>
              <w:right w:w="58" w:type="dxa"/>
            </w:tcMar>
            <w:vAlign w:val="bottom"/>
          </w:tcPr>
          <w:p w14:paraId="7A8B5A61" w14:textId="306A96AA" w:rsidR="00106000" w:rsidRPr="00106000" w:rsidRDefault="00D84BE8" w:rsidP="00D27C4F">
            <w:pPr>
              <w:pStyle w:val="TableHeaders"/>
              <w:tabs>
                <w:tab w:val="left" w:pos="660"/>
                <w:tab w:val="left" w:pos="1290"/>
              </w:tabs>
              <w:jc w:val="center"/>
            </w:pPr>
            <w:r w:rsidRPr="00106000">
              <w:t>Normal</w:t>
            </w:r>
            <w:r>
              <w:t xml:space="preserve"> </w:t>
            </w:r>
            <w:r>
              <w:rPr>
                <w:rStyle w:val="H2-Subheading"/>
                <w:b w:val="0"/>
                <w:bCs w:val="0"/>
              </w:rPr>
              <w:tab/>
            </w:r>
            <w:r w:rsidR="00D27C4F" w:rsidRPr="00D27C4F">
              <w:t>Anorma</w:t>
            </w:r>
            <w:r w:rsidR="00D27C4F">
              <w:t>l</w:t>
            </w:r>
            <w:r>
              <w:rPr>
                <w:rStyle w:val="H2-Subheading"/>
                <w:b w:val="0"/>
                <w:bCs w:val="0"/>
              </w:rPr>
              <w:tab/>
            </w:r>
            <w:r w:rsidR="00D27C4F" w:rsidRPr="00D27C4F">
              <w:t>Pas fai</w:t>
            </w:r>
            <w:r w:rsidR="00D27C4F">
              <w:t>t</w:t>
            </w:r>
          </w:p>
        </w:tc>
        <w:tc>
          <w:tcPr>
            <w:tcW w:w="3148" w:type="dxa"/>
            <w:tcBorders>
              <w:top w:val="single" w:sz="4"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bottom"/>
          </w:tcPr>
          <w:p w14:paraId="4F1733DF" w14:textId="70221720" w:rsidR="00106000" w:rsidRPr="003470BA" w:rsidRDefault="000C277B" w:rsidP="00314E04">
            <w:pPr>
              <w:pStyle w:val="TableHeaders"/>
            </w:pPr>
            <w:r w:rsidRPr="000C277B">
              <w:t xml:space="preserve">Type </w:t>
            </w:r>
            <w:proofErr w:type="spellStart"/>
            <w:r w:rsidRPr="000C277B">
              <w:t>d’Examen</w:t>
            </w:r>
            <w:proofErr w:type="spellEnd"/>
          </w:p>
        </w:tc>
        <w:tc>
          <w:tcPr>
            <w:tcW w:w="3806" w:type="dxa"/>
            <w:tcBorders>
              <w:top w:val="single" w:sz="4" w:space="0" w:color="BFBFBF" w:themeColor="background1" w:themeShade="BF"/>
              <w:left w:val="single" w:sz="4" w:space="0" w:color="BFBFBF" w:themeColor="background1" w:themeShade="BF"/>
              <w:bottom w:val="single" w:sz="4" w:space="0" w:color="D0CECE" w:themeColor="background2" w:themeShade="E6"/>
              <w:right w:val="single" w:sz="4" w:space="0" w:color="BFBFBF" w:themeColor="background1" w:themeShade="BF"/>
            </w:tcBorders>
            <w:tcMar>
              <w:left w:w="58" w:type="dxa"/>
              <w:right w:w="58" w:type="dxa"/>
            </w:tcMar>
            <w:vAlign w:val="bottom"/>
          </w:tcPr>
          <w:p w14:paraId="482DDCEF" w14:textId="0506670C" w:rsidR="00106000" w:rsidRPr="003470BA" w:rsidRDefault="000C277B" w:rsidP="00314E04">
            <w:pPr>
              <w:pStyle w:val="TableHeaders"/>
            </w:pPr>
            <w:r w:rsidRPr="000C277B">
              <w:t>Remarques</w:t>
            </w:r>
          </w:p>
        </w:tc>
      </w:tr>
      <w:tr w:rsidR="000F2AAA" w:rsidRPr="003470BA" w14:paraId="36E772EC" w14:textId="77777777" w:rsidTr="00CF374F">
        <w:trPr>
          <w:trHeight w:val="144"/>
        </w:trPr>
        <w:tc>
          <w:tcPr>
            <w:tcW w:w="635" w:type="dxa"/>
            <w:tcBorders>
              <w:top w:val="nil"/>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61A5DC1B"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nil"/>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32F9F517"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nil"/>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3A3C41CE"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nil"/>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34B55C7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4" w:space="0" w:color="D0CECE" w:themeColor="background2" w:themeShade="E6"/>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2CAA33C1"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4" w:space="0" w:color="D0CECE" w:themeColor="background2" w:themeShade="E6"/>
              <w:left w:val="dotted" w:sz="8" w:space="0" w:color="BFBFBF" w:themeColor="background1" w:themeShade="BF"/>
              <w:bottom w:val="single" w:sz="8" w:space="0" w:color="BFBFBF" w:themeColor="background1" w:themeShade="BF"/>
            </w:tcBorders>
            <w:tcMar>
              <w:left w:w="58" w:type="dxa"/>
              <w:right w:w="58" w:type="dxa"/>
            </w:tcMar>
            <w:vAlign w:val="bottom"/>
          </w:tcPr>
          <w:p w14:paraId="18902EC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4" w:space="0" w:color="D0CECE" w:themeColor="background2" w:themeShade="E6"/>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E5E926E" w14:textId="1D71AC1F" w:rsidR="00766591" w:rsidRPr="00BE3ECD" w:rsidRDefault="000C277B" w:rsidP="00BE3ECD">
            <w:pPr>
              <w:pStyle w:val="NoSpacing"/>
            </w:pPr>
            <w:r w:rsidRPr="000C277B">
              <w:t xml:space="preserve">Signes </w:t>
            </w:r>
            <w:proofErr w:type="spellStart"/>
            <w:r w:rsidRPr="000C277B">
              <w:t>vitaux</w:t>
            </w:r>
            <w:proofErr w:type="spellEnd"/>
            <w:r w:rsidR="00766591" w:rsidRPr="008A0D52">
              <w:rPr>
                <w:rStyle w:val="EndnoteTextChar"/>
                <w:szCs w:val="16"/>
                <w:vertAlign w:val="superscript"/>
              </w:rPr>
              <w:endnoteReference w:id="36"/>
            </w:r>
          </w:p>
        </w:tc>
        <w:tc>
          <w:tcPr>
            <w:tcW w:w="3806" w:type="dxa"/>
            <w:vMerge w:val="restart"/>
            <w:tcBorders>
              <w:top w:val="single" w:sz="4" w:space="0" w:color="D0CECE" w:themeColor="background2" w:themeShade="E6"/>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tcPr>
          <w:p w14:paraId="571A4026" w14:textId="77777777" w:rsidR="00766591" w:rsidRPr="003470BA" w:rsidRDefault="00766591" w:rsidP="00941025"/>
          <w:p w14:paraId="251BCF2B" w14:textId="77777777" w:rsidR="00766591" w:rsidRPr="003470BA" w:rsidRDefault="00766591" w:rsidP="00BE3ECD">
            <w:pPr>
              <w:pStyle w:val="NoSpacing"/>
            </w:pPr>
          </w:p>
        </w:tc>
      </w:tr>
      <w:tr w:rsidR="000F2AAA" w:rsidRPr="003470BA" w14:paraId="6B962314"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68309A74"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BA2425D"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0AD8A4A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3432783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0F3A70A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5000A9FB"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4485F0ED" w14:textId="6BC1000B" w:rsidR="00766591" w:rsidRPr="00BE3ECD" w:rsidRDefault="000C277B" w:rsidP="00BE3ECD">
            <w:pPr>
              <w:pStyle w:val="NoSpacing"/>
            </w:pPr>
            <w:proofErr w:type="spellStart"/>
            <w:r w:rsidRPr="000C277B">
              <w:t>Apparence</w:t>
            </w:r>
            <w:proofErr w:type="spellEnd"/>
            <w:r w:rsidRPr="000C277B">
              <w:t xml:space="preserve"> </w:t>
            </w:r>
            <w:proofErr w:type="spellStart"/>
            <w:r w:rsidRPr="000C277B">
              <w:t>générale</w:t>
            </w:r>
            <w:proofErr w:type="spellEnd"/>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61789FC5" w14:textId="77777777" w:rsidR="00766591" w:rsidRPr="003470BA" w:rsidRDefault="00766591" w:rsidP="00BE3ECD">
            <w:pPr>
              <w:pStyle w:val="NoSpacing"/>
            </w:pPr>
          </w:p>
        </w:tc>
      </w:tr>
      <w:tr w:rsidR="000F2AAA" w:rsidRPr="003470BA" w14:paraId="55E94B07"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79CCA04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3A2E119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1466D96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48AF19B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0079438B"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4720CD5D"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0734685" w14:textId="56C7122B" w:rsidR="00766591" w:rsidRPr="00BE3ECD" w:rsidRDefault="000C277B" w:rsidP="00BE3ECD">
            <w:pPr>
              <w:pStyle w:val="NoSpacing"/>
            </w:pPr>
            <w:r w:rsidRPr="000C277B">
              <w:t>Yeux, vision</w:t>
            </w:r>
            <w:r w:rsidR="00766591" w:rsidRPr="00793A84">
              <w:rPr>
                <w:rStyle w:val="EndnoteTextChar"/>
                <w:szCs w:val="16"/>
                <w:vertAlign w:val="superscript"/>
              </w:rPr>
              <w:endnoteReference w:id="37"/>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71654A89" w14:textId="77777777" w:rsidR="00766591" w:rsidRPr="003470BA" w:rsidRDefault="00766591" w:rsidP="00BE3ECD">
            <w:pPr>
              <w:pStyle w:val="NoSpacing"/>
            </w:pPr>
          </w:p>
        </w:tc>
      </w:tr>
      <w:tr w:rsidR="000F2AAA" w:rsidRPr="003470BA" w14:paraId="0C02058F"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71F01CB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3898147"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6D3145A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1649EEBD"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2D587ED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370697BB"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2F7BF6C" w14:textId="38B48BC8" w:rsidR="00766591" w:rsidRPr="00BE3ECD" w:rsidRDefault="000C277B" w:rsidP="00BE3ECD">
            <w:pPr>
              <w:pStyle w:val="NoSpacing"/>
            </w:pPr>
            <w:r w:rsidRPr="000C277B">
              <w:t>Oreilles, conduits, audition</w:t>
            </w:r>
            <w:r w:rsidR="00766591" w:rsidRPr="00793A84">
              <w:rPr>
                <w:rStyle w:val="EndnoteTextChar"/>
                <w:szCs w:val="16"/>
                <w:vertAlign w:val="superscript"/>
              </w:rPr>
              <w:endnoteReference w:id="38"/>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45774795" w14:textId="77777777" w:rsidR="00766591" w:rsidRPr="003470BA" w:rsidRDefault="00766591" w:rsidP="00BE3ECD">
            <w:pPr>
              <w:pStyle w:val="NoSpacing"/>
            </w:pPr>
          </w:p>
        </w:tc>
      </w:tr>
      <w:tr w:rsidR="000F2AAA" w:rsidRPr="003470BA" w14:paraId="6A66F60B"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449BFE0A"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F6D9D3A"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1B357A83"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6DA9AF2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21B17AE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30C3F29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83D5C92" w14:textId="402C3967" w:rsidR="00766591" w:rsidRPr="00BE3ECD" w:rsidRDefault="000C277B" w:rsidP="00BE3ECD">
            <w:pPr>
              <w:pStyle w:val="NoSpacing"/>
            </w:pPr>
            <w:r w:rsidRPr="000C277B">
              <w:t>Dents</w:t>
            </w:r>
            <w:r w:rsidR="00766591" w:rsidRPr="00793A84">
              <w:rPr>
                <w:rStyle w:val="EndnoteTextChar"/>
                <w:szCs w:val="16"/>
                <w:vertAlign w:val="superscript"/>
              </w:rPr>
              <w:endnoteReference w:id="39"/>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15153A36" w14:textId="77777777" w:rsidR="00766591" w:rsidRPr="003470BA" w:rsidRDefault="00766591" w:rsidP="00BE3ECD">
            <w:pPr>
              <w:pStyle w:val="NoSpacing"/>
            </w:pPr>
          </w:p>
        </w:tc>
      </w:tr>
      <w:tr w:rsidR="000F2AAA" w:rsidRPr="003470BA" w14:paraId="76223DCC"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0AF9E854"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30529A4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6BF6A09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6F7B9D2A"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74494C11"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3AF8131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A0187B6" w14:textId="2E6FB77D" w:rsidR="00766591" w:rsidRPr="00BE3ECD" w:rsidRDefault="000C277B" w:rsidP="00BE3ECD">
            <w:pPr>
              <w:pStyle w:val="NoSpacing"/>
            </w:pPr>
            <w:proofErr w:type="spellStart"/>
            <w:r w:rsidRPr="000C277B">
              <w:t>Cou</w:t>
            </w:r>
            <w:proofErr w:type="spellEnd"/>
            <w:r w:rsidRPr="000C277B">
              <w:t xml:space="preserve">, </w:t>
            </w:r>
            <w:proofErr w:type="spellStart"/>
            <w:r w:rsidRPr="000C277B">
              <w:t>glande</w:t>
            </w:r>
            <w:proofErr w:type="spellEnd"/>
            <w:r w:rsidRPr="000C277B">
              <w:t xml:space="preserve"> </w:t>
            </w:r>
            <w:proofErr w:type="spellStart"/>
            <w:r w:rsidRPr="000C277B">
              <w:t>thyroïde</w:t>
            </w:r>
            <w:proofErr w:type="spellEnd"/>
            <w:r w:rsidR="00766591" w:rsidRPr="00793A84">
              <w:rPr>
                <w:rStyle w:val="EndnoteTextChar"/>
                <w:szCs w:val="16"/>
                <w:vertAlign w:val="superscript"/>
              </w:rPr>
              <w:endnoteReference w:id="40"/>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07C044F6" w14:textId="77777777" w:rsidR="00766591" w:rsidRPr="003470BA" w:rsidRDefault="00766591" w:rsidP="00BE3ECD">
            <w:pPr>
              <w:pStyle w:val="NoSpacing"/>
            </w:pPr>
          </w:p>
        </w:tc>
      </w:tr>
      <w:tr w:rsidR="000F2AAA" w:rsidRPr="003470BA" w14:paraId="39600D29"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1AA9B04D"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7ADD30BE"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12A3E0C3"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33F2568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72ED7F8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1C41869B"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8D59CD6" w14:textId="13B38494" w:rsidR="00766591" w:rsidRPr="00BE3ECD" w:rsidRDefault="000C277B" w:rsidP="00BE3ECD">
            <w:pPr>
              <w:pStyle w:val="NoSpacing"/>
            </w:pPr>
            <w:proofErr w:type="spellStart"/>
            <w:r w:rsidRPr="000C277B">
              <w:t>Respiratoire</w:t>
            </w:r>
            <w:proofErr w:type="spellEnd"/>
            <w:r w:rsidR="00766591" w:rsidRPr="00793A84">
              <w:rPr>
                <w:rStyle w:val="EndnoteTextChar"/>
                <w:szCs w:val="16"/>
                <w:vertAlign w:val="superscript"/>
              </w:rPr>
              <w:endnoteReference w:id="41"/>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55EE7DE1" w14:textId="77777777" w:rsidR="00766591" w:rsidRPr="003470BA" w:rsidRDefault="00766591" w:rsidP="00BE3ECD">
            <w:pPr>
              <w:pStyle w:val="NoSpacing"/>
            </w:pPr>
          </w:p>
        </w:tc>
      </w:tr>
      <w:tr w:rsidR="000F2AAA" w:rsidRPr="003470BA" w14:paraId="07ECAF25"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34E5B15E"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6AD223F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1ABA72C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7DD2110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7EE470D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1CC8E72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258AC4A" w14:textId="2E5A4276" w:rsidR="00766591" w:rsidRPr="00BE3ECD" w:rsidRDefault="000C277B" w:rsidP="00BE3ECD">
            <w:pPr>
              <w:pStyle w:val="NoSpacing"/>
            </w:pPr>
            <w:proofErr w:type="spellStart"/>
            <w:r w:rsidRPr="000C277B">
              <w:t>Cardiovasculaire</w:t>
            </w:r>
            <w:proofErr w:type="spellEnd"/>
            <w:r w:rsidR="00766591" w:rsidRPr="00793A84">
              <w:rPr>
                <w:rStyle w:val="EndnoteTextChar"/>
                <w:szCs w:val="16"/>
                <w:vertAlign w:val="superscript"/>
              </w:rPr>
              <w:endnoteReference w:id="42"/>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7ED68D03" w14:textId="77777777" w:rsidR="00766591" w:rsidRPr="003470BA" w:rsidRDefault="00766591" w:rsidP="00BE3ECD">
            <w:pPr>
              <w:pStyle w:val="NoSpacing"/>
            </w:pPr>
          </w:p>
        </w:tc>
      </w:tr>
      <w:tr w:rsidR="000F2AAA" w:rsidRPr="003470BA" w14:paraId="50713D29"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1E07C615"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B46CA7A"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55D282A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07EB6D2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6DC7504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125E945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16DDFCA" w14:textId="64F6EB51" w:rsidR="00766591" w:rsidRPr="00BE3ECD" w:rsidRDefault="00766591" w:rsidP="00BE3ECD">
            <w:pPr>
              <w:pStyle w:val="NoSpacing"/>
            </w:pPr>
            <w:r w:rsidRPr="00BE3ECD">
              <w:t>Abdomen</w:t>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7F2F30D4" w14:textId="77777777" w:rsidR="00766591" w:rsidRPr="003470BA" w:rsidRDefault="00766591" w:rsidP="00BE3ECD">
            <w:pPr>
              <w:pStyle w:val="NoSpacing"/>
            </w:pPr>
          </w:p>
        </w:tc>
      </w:tr>
      <w:tr w:rsidR="000F2AAA" w:rsidRPr="003470BA" w14:paraId="49C62136"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344296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08F46621"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22FEA514"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1E0FC6BC"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5E47E54C"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07348DF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6382D02" w14:textId="36B0067D" w:rsidR="00766591" w:rsidRPr="00BE3ECD" w:rsidRDefault="000C277B" w:rsidP="00BE3ECD">
            <w:pPr>
              <w:pStyle w:val="NoSpacing"/>
            </w:pPr>
            <w:proofErr w:type="spellStart"/>
            <w:r w:rsidRPr="000C277B">
              <w:t>Génital</w:t>
            </w:r>
            <w:proofErr w:type="spellEnd"/>
            <w:r w:rsidRPr="000C277B">
              <w:t>/</w:t>
            </w:r>
            <w:proofErr w:type="spellStart"/>
            <w:r w:rsidRPr="000C277B">
              <w:t>gynécologique</w:t>
            </w:r>
            <w:proofErr w:type="spellEnd"/>
            <w:r w:rsidR="00766591" w:rsidRPr="00793A84">
              <w:rPr>
                <w:rStyle w:val="EndnoteTextChar"/>
                <w:szCs w:val="16"/>
                <w:vertAlign w:val="superscript"/>
              </w:rPr>
              <w:endnoteReference w:id="43"/>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34235023" w14:textId="77777777" w:rsidR="00766591" w:rsidRPr="003470BA" w:rsidRDefault="00766591" w:rsidP="00BE3ECD">
            <w:pPr>
              <w:pStyle w:val="NoSpacing"/>
            </w:pPr>
          </w:p>
        </w:tc>
      </w:tr>
      <w:tr w:rsidR="000F2AAA" w:rsidRPr="003470BA" w14:paraId="686FEB29"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50F4EDEE"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5F58B114"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688E428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349A1A7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16F62BA3"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7CF4CEF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6B52097" w14:textId="7047FDBE" w:rsidR="00766591" w:rsidRPr="00BE3ECD" w:rsidRDefault="000C277B" w:rsidP="00BE3ECD">
            <w:pPr>
              <w:pStyle w:val="NoSpacing"/>
            </w:pPr>
            <w:proofErr w:type="spellStart"/>
            <w:r w:rsidRPr="000C277B">
              <w:t>Musculosquelettique</w:t>
            </w:r>
            <w:proofErr w:type="spellEnd"/>
            <w:r w:rsidR="00766591" w:rsidRPr="00793A84">
              <w:rPr>
                <w:rStyle w:val="EndnoteTextChar"/>
                <w:szCs w:val="16"/>
                <w:vertAlign w:val="superscript"/>
              </w:rPr>
              <w:endnoteReference w:id="44"/>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7DB01DB0" w14:textId="77777777" w:rsidR="00766591" w:rsidRPr="003470BA" w:rsidRDefault="00766591" w:rsidP="00BE3ECD">
            <w:pPr>
              <w:pStyle w:val="NoSpacing"/>
            </w:pPr>
          </w:p>
        </w:tc>
      </w:tr>
      <w:tr w:rsidR="000F2AAA" w:rsidRPr="003470BA" w14:paraId="7BA4E7AF"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89D786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3C2118EE"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5CC6328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3A8E7875"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06AFF88C"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27DED6BF"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AE12698" w14:textId="0493DC23" w:rsidR="00766591" w:rsidRPr="00BE3ECD" w:rsidRDefault="000C277B" w:rsidP="00BE3ECD">
            <w:pPr>
              <w:pStyle w:val="NoSpacing"/>
            </w:pPr>
            <w:proofErr w:type="spellStart"/>
            <w:r w:rsidRPr="000C277B">
              <w:t>Neurologique</w:t>
            </w:r>
            <w:proofErr w:type="spellEnd"/>
            <w:r w:rsidR="00766591" w:rsidRPr="00793A84">
              <w:rPr>
                <w:rStyle w:val="EndnoteTextChar"/>
                <w:szCs w:val="16"/>
                <w:vertAlign w:val="superscript"/>
              </w:rPr>
              <w:endnoteReference w:id="45"/>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1A925A75" w14:textId="77777777" w:rsidR="00766591" w:rsidRPr="003470BA" w:rsidRDefault="00766591" w:rsidP="00BE3ECD">
            <w:pPr>
              <w:pStyle w:val="NoSpacing"/>
            </w:pPr>
          </w:p>
        </w:tc>
      </w:tr>
      <w:tr w:rsidR="000F2AAA" w:rsidRPr="003470BA" w14:paraId="394FD7B4"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005912B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742FF748"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6F2E683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6260CCC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369D2DE3"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46F6226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6B928116" w14:textId="674BF11D" w:rsidR="00766591" w:rsidRPr="00BE3ECD" w:rsidRDefault="000C277B" w:rsidP="00BE3ECD">
            <w:pPr>
              <w:pStyle w:val="NoSpacing"/>
            </w:pPr>
            <w:r w:rsidRPr="000C277B">
              <w:t>État mental</w:t>
            </w:r>
            <w:r w:rsidR="00766591" w:rsidRPr="00793A84">
              <w:rPr>
                <w:rStyle w:val="EndnoteTextChar"/>
                <w:szCs w:val="16"/>
                <w:vertAlign w:val="superscript"/>
              </w:rPr>
              <w:endnoteReference w:id="46"/>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6E6F279E" w14:textId="77777777" w:rsidR="00766591" w:rsidRPr="003470BA" w:rsidRDefault="00766591" w:rsidP="00BE3ECD">
            <w:pPr>
              <w:pStyle w:val="NoSpacing"/>
            </w:pPr>
          </w:p>
        </w:tc>
      </w:tr>
      <w:tr w:rsidR="000F2AAA" w:rsidRPr="003470BA" w14:paraId="08E3D7F8"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4712DF3E"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3A0B38F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bottom"/>
          </w:tcPr>
          <w:p w14:paraId="5B956E10"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bottom"/>
          </w:tcPr>
          <w:p w14:paraId="0EAC5234"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bottom"/>
          </w:tcPr>
          <w:p w14:paraId="03DA481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bottom"/>
          </w:tcPr>
          <w:p w14:paraId="680B9056"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EAD1D1E" w14:textId="31EBD584" w:rsidR="00766591" w:rsidRPr="00BE3ECD" w:rsidRDefault="000C277B" w:rsidP="00BE3ECD">
            <w:pPr>
              <w:pStyle w:val="NoSpacing"/>
            </w:pPr>
            <w:proofErr w:type="spellStart"/>
            <w:r>
              <w:t>Peau</w:t>
            </w:r>
            <w:proofErr w:type="spellEnd"/>
            <w:r w:rsidR="00766591" w:rsidRPr="00793A84">
              <w:rPr>
                <w:rStyle w:val="EndnoteTextChar"/>
                <w:szCs w:val="16"/>
                <w:vertAlign w:val="superscript"/>
              </w:rPr>
              <w:endnoteReference w:id="47"/>
            </w:r>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7242D49F" w14:textId="77777777" w:rsidR="00766591" w:rsidRPr="003470BA" w:rsidRDefault="00766591" w:rsidP="00BE3ECD">
            <w:pPr>
              <w:pStyle w:val="NoSpacing"/>
            </w:pPr>
          </w:p>
        </w:tc>
      </w:tr>
      <w:tr w:rsidR="000F2AAA" w:rsidRPr="003470BA" w14:paraId="5C800306" w14:textId="77777777" w:rsidTr="000C277B">
        <w:trPr>
          <w:trHeight w:val="144"/>
        </w:trPr>
        <w:tc>
          <w:tcPr>
            <w:tcW w:w="635" w:type="dxa"/>
            <w:tcBorders>
              <w:top w:val="single" w:sz="8" w:space="0" w:color="BFBFBF" w:themeColor="background1" w:themeShade="BF"/>
              <w:left w:val="single" w:sz="4" w:space="0" w:color="BFBFBF" w:themeColor="background1" w:themeShade="BF"/>
              <w:bottom w:val="single" w:sz="4"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27E0F07B"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41" w:type="dxa"/>
            <w:tcBorders>
              <w:top w:val="single" w:sz="8" w:space="0" w:color="BFBFBF" w:themeColor="background1" w:themeShade="BF"/>
              <w:left w:val="dotted" w:sz="8" w:space="0" w:color="BFBFBF" w:themeColor="background1" w:themeShade="BF"/>
              <w:bottom w:val="single" w:sz="4"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bottom"/>
          </w:tcPr>
          <w:p w14:paraId="7B7658AD"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732" w:type="dxa"/>
            <w:tcBorders>
              <w:top w:val="single" w:sz="8" w:space="0" w:color="BFBFBF" w:themeColor="background1" w:themeShade="BF"/>
              <w:left w:val="dotted" w:sz="8" w:space="0" w:color="BFBFBF" w:themeColor="background1" w:themeShade="BF"/>
              <w:bottom w:val="single" w:sz="4" w:space="0" w:color="BFBFBF" w:themeColor="background1" w:themeShade="BF"/>
              <w:right w:val="nil"/>
            </w:tcBorders>
            <w:shd w:val="clear" w:color="auto" w:fill="F2F2F2" w:themeFill="background1" w:themeFillShade="F2"/>
            <w:tcMar>
              <w:left w:w="58" w:type="dxa"/>
              <w:right w:w="58" w:type="dxa"/>
            </w:tcMar>
            <w:vAlign w:val="bottom"/>
          </w:tcPr>
          <w:p w14:paraId="0634D552"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nil"/>
              <w:bottom w:val="single" w:sz="4" w:space="0" w:color="BFBFBF" w:themeColor="background1" w:themeShade="BF"/>
              <w:right w:val="dotted" w:sz="8" w:space="0" w:color="BFBFBF" w:themeColor="background1" w:themeShade="BF"/>
            </w:tcBorders>
            <w:tcMar>
              <w:left w:w="58" w:type="dxa"/>
              <w:right w:w="58" w:type="dxa"/>
            </w:tcMar>
            <w:vAlign w:val="bottom"/>
          </w:tcPr>
          <w:p w14:paraId="33E850A1"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4" w:space="0" w:color="BFBFBF" w:themeColor="background1" w:themeShade="BF"/>
              <w:right w:val="dotted" w:sz="8" w:space="0" w:color="BFBFBF" w:themeColor="background1" w:themeShade="BF"/>
            </w:tcBorders>
            <w:tcMar>
              <w:left w:w="58" w:type="dxa"/>
              <w:right w:w="58" w:type="dxa"/>
            </w:tcMar>
            <w:vAlign w:val="bottom"/>
          </w:tcPr>
          <w:p w14:paraId="7269FFE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671" w:type="dxa"/>
            <w:tcBorders>
              <w:top w:val="single" w:sz="8" w:space="0" w:color="BFBFBF" w:themeColor="background1" w:themeShade="BF"/>
              <w:left w:val="dotted" w:sz="8" w:space="0" w:color="BFBFBF" w:themeColor="background1" w:themeShade="BF"/>
              <w:bottom w:val="single" w:sz="4" w:space="0" w:color="BFBFBF" w:themeColor="background1" w:themeShade="BF"/>
            </w:tcBorders>
            <w:tcMar>
              <w:left w:w="58" w:type="dxa"/>
              <w:right w:w="58" w:type="dxa"/>
            </w:tcMar>
            <w:vAlign w:val="bottom"/>
          </w:tcPr>
          <w:p w14:paraId="678B7C29" w14:textId="77777777" w:rsidR="00766591" w:rsidRPr="00A82ED9" w:rsidRDefault="00766591" w:rsidP="00E9742C">
            <w:pPr>
              <w:pStyle w:val="NoSpacing"/>
              <w:jc w:val="center"/>
              <w:rPr>
                <w:sz w:val="14"/>
                <w:szCs w:val="14"/>
              </w:rPr>
            </w:pPr>
            <w:r w:rsidRPr="00A82ED9">
              <w:rPr>
                <w:rFonts w:ascii="Segoe UI Symbol" w:hAnsi="Segoe UI Symbol" w:cs="Segoe UI Symbol"/>
                <w:sz w:val="14"/>
                <w:szCs w:val="14"/>
              </w:rPr>
              <w:t>☐</w:t>
            </w:r>
          </w:p>
        </w:tc>
        <w:tc>
          <w:tcPr>
            <w:tcW w:w="3148" w:type="dxa"/>
            <w:tcBorders>
              <w:top w:val="single" w:sz="8" w:space="0" w:color="BFBFBF" w:themeColor="background1" w:themeShade="BF"/>
              <w:left w:val="dotted" w:sz="8"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6D272E19" w14:textId="485A27C4" w:rsidR="00766591" w:rsidRPr="00BE3ECD" w:rsidRDefault="000C277B" w:rsidP="00BE3ECD">
            <w:pPr>
              <w:pStyle w:val="NoSpacing"/>
            </w:pPr>
            <w:proofErr w:type="spellStart"/>
            <w:r>
              <w:t>Aut</w:t>
            </w:r>
            <w:r w:rsidR="00766591" w:rsidRPr="00BE3ECD">
              <w:t>r</w:t>
            </w:r>
            <w:r>
              <w:t>e</w:t>
            </w:r>
            <w:proofErr w:type="spellEnd"/>
          </w:p>
        </w:tc>
        <w:tc>
          <w:tcPr>
            <w:tcW w:w="38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132062EE" w14:textId="77777777" w:rsidR="00766591" w:rsidRPr="003470BA" w:rsidRDefault="00766591" w:rsidP="00BE3ECD">
            <w:pPr>
              <w:pStyle w:val="NoSpacing"/>
            </w:pPr>
          </w:p>
        </w:tc>
      </w:tr>
    </w:tbl>
    <w:p w14:paraId="7541AEFF" w14:textId="4DB08E12" w:rsidR="00AB7925" w:rsidRPr="000C277B" w:rsidRDefault="000C277B" w:rsidP="00593594">
      <w:pPr>
        <w:pStyle w:val="H2"/>
        <w:spacing w:after="0"/>
        <w:rPr>
          <w:rStyle w:val="H2-Subheading"/>
          <w:lang w:val="fr-CA"/>
        </w:rPr>
      </w:pPr>
      <w:r w:rsidRPr="007B0654">
        <w:rPr>
          <w:lang w:val="fr-CA"/>
        </w:rPr>
        <w:t>Étape</w:t>
      </w:r>
      <w:r w:rsidR="0016538B" w:rsidRPr="003470BA">
        <w:t xml:space="preserve"> 6</w:t>
      </w:r>
      <w:r w:rsidR="00ED593A">
        <w:t>:</w:t>
      </w:r>
      <w:r w:rsidR="00915D0A">
        <w:t xml:space="preserve"> </w:t>
      </w:r>
      <w:r w:rsidRPr="000C277B">
        <w:rPr>
          <w:rFonts w:ascii="Lato" w:hAnsi="Lato"/>
          <w:b w:val="0"/>
          <w:bCs w:val="0"/>
          <w:lang w:val="fr-CA"/>
        </w:rPr>
        <w:t>Évaluation et plan</w:t>
      </w:r>
      <w:r w:rsidR="0016538B" w:rsidRPr="00ED593A">
        <w:rPr>
          <w:rStyle w:val="H2-Subheading"/>
          <w:b w:val="0"/>
          <w:bCs w:val="0"/>
          <w:vertAlign w:val="superscript"/>
        </w:rPr>
        <w:endnoteReference w:id="48"/>
      </w:r>
    </w:p>
    <w:p w14:paraId="2D4A5D9E" w14:textId="0AE6BF35" w:rsidR="00AB7925" w:rsidRPr="00CF374F" w:rsidRDefault="000C277B" w:rsidP="00CF374F">
      <w:pPr>
        <w:rPr>
          <w:rFonts w:ascii="Lato" w:hAnsi="Lato"/>
          <w:sz w:val="16"/>
          <w:szCs w:val="16"/>
        </w:rPr>
      </w:pPr>
      <w:r w:rsidRPr="00CF374F">
        <w:rPr>
          <w:rFonts w:ascii="Lato" w:hAnsi="Lato"/>
          <w:sz w:val="16"/>
          <w:szCs w:val="16"/>
          <w:lang w:val="fr-CA"/>
        </w:rPr>
        <w:t>Énumérez les problèmes identifiés dans le cadre de l’Examen de santé, notez le plan, la personne responsable et le temps requis pour chaque action nécessaire</w:t>
      </w:r>
      <w:r w:rsidR="00593594" w:rsidRPr="00CF374F">
        <w:rPr>
          <w:rFonts w:ascii="Lato" w:hAnsi="Lato"/>
          <w:sz w:val="16"/>
          <w:szCs w:val="16"/>
        </w:rPr>
        <w:t xml:space="preserve">. </w:t>
      </w:r>
      <w:r w:rsidRPr="00CF374F">
        <w:rPr>
          <w:rFonts w:ascii="Lato" w:hAnsi="Lato"/>
          <w:sz w:val="16"/>
          <w:szCs w:val="16"/>
          <w:lang w:val="fr-CA"/>
        </w:rPr>
        <w:t>Si ces questions ne sont pas abordées dans cette liste, envisagez les mesures suivantes</w:t>
      </w:r>
      <w:r w:rsidR="00AB7925" w:rsidRPr="00CF374F">
        <w:rPr>
          <w:rFonts w:ascii="Lato" w:hAnsi="Lato"/>
          <w:sz w:val="16"/>
          <w:szCs w:val="16"/>
        </w:rPr>
        <w:t>:</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single" w:sz="2" w:space="0" w:color="D9D9D9" w:themeColor="background1" w:themeShade="D9"/>
        </w:tblBorders>
        <w:tblLayout w:type="fixed"/>
        <w:tblCellMar>
          <w:top w:w="29" w:type="dxa"/>
          <w:left w:w="58" w:type="dxa"/>
          <w:bottom w:w="29" w:type="dxa"/>
          <w:right w:w="58" w:type="dxa"/>
        </w:tblCellMar>
        <w:tblLook w:val="04A0" w:firstRow="1" w:lastRow="0" w:firstColumn="1" w:lastColumn="0" w:noHBand="0" w:noVBand="1"/>
      </w:tblPr>
      <w:tblGrid>
        <w:gridCol w:w="543"/>
        <w:gridCol w:w="732"/>
        <w:gridCol w:w="549"/>
        <w:gridCol w:w="549"/>
        <w:gridCol w:w="823"/>
        <w:gridCol w:w="823"/>
        <w:gridCol w:w="3151"/>
        <w:gridCol w:w="3800"/>
      </w:tblGrid>
      <w:tr w:rsidR="00A95AC1" w:rsidRPr="003470BA" w14:paraId="4B423304" w14:textId="77777777" w:rsidTr="00CF374F">
        <w:trPr>
          <w:trHeight w:val="144"/>
        </w:trPr>
        <w:tc>
          <w:tcPr>
            <w:tcW w:w="1795" w:type="dxa"/>
            <w:gridSpan w:val="3"/>
            <w:vMerge w:val="restart"/>
            <w:tcBorders>
              <w:top w:val="single" w:sz="4" w:space="0" w:color="BFBFBF" w:themeColor="background1" w:themeShade="BF"/>
              <w:left w:val="single" w:sz="4" w:space="0" w:color="BFBFBF" w:themeColor="background1" w:themeShade="BF"/>
              <w:right w:val="nil"/>
            </w:tcBorders>
            <w:shd w:val="clear" w:color="auto" w:fill="F2F2F2" w:themeFill="background1" w:themeFillShade="F2"/>
            <w:tcMar>
              <w:left w:w="58" w:type="dxa"/>
              <w:right w:w="58" w:type="dxa"/>
            </w:tcMar>
            <w:vAlign w:val="center"/>
          </w:tcPr>
          <w:p w14:paraId="59E66377" w14:textId="66912202" w:rsidR="00A95AC1" w:rsidRPr="003470BA" w:rsidRDefault="007D02AA" w:rsidP="00283E95">
            <w:pPr>
              <w:pStyle w:val="H3"/>
              <w:jc w:val="center"/>
            </w:pPr>
            <w:r w:rsidRPr="007D02AA">
              <w:t>1</w:t>
            </w:r>
            <w:r w:rsidRPr="007D02AA">
              <w:rPr>
                <w:vertAlign w:val="superscript"/>
              </w:rPr>
              <w:t>re</w:t>
            </w:r>
            <w:r w:rsidRPr="007D02AA">
              <w:t xml:space="preserve"> </w:t>
            </w:r>
            <w:proofErr w:type="spellStart"/>
            <w:r w:rsidRPr="007D02AA">
              <w:t>année</w:t>
            </w:r>
            <w:proofErr w:type="spellEnd"/>
          </w:p>
          <w:p w14:paraId="64448C24" w14:textId="0FA991EB" w:rsidR="00A95AC1" w:rsidRPr="003470BA" w:rsidRDefault="00D27C4F" w:rsidP="00D27C4F">
            <w:pPr>
              <w:pStyle w:val="TableHeaders"/>
              <w:tabs>
                <w:tab w:val="left" w:pos="503"/>
                <w:tab w:val="left" w:pos="1212"/>
              </w:tabs>
              <w:jc w:val="center"/>
            </w:pPr>
            <w:r>
              <w:t>Fait</w:t>
            </w:r>
            <w:r w:rsidR="00A95AC1">
              <w:rPr>
                <w:rStyle w:val="H2-Subheading"/>
                <w:b w:val="0"/>
                <w:bCs w:val="0"/>
              </w:rPr>
              <w:tab/>
            </w:r>
            <w:r>
              <w:t>Pas f</w:t>
            </w:r>
            <w:r>
              <w:t>ait</w:t>
            </w:r>
            <w:r w:rsidR="00A95AC1">
              <w:rPr>
                <w:rStyle w:val="H2-Subheading"/>
                <w:b w:val="0"/>
                <w:bCs w:val="0"/>
              </w:rPr>
              <w:tab/>
            </w:r>
            <w:r w:rsidR="00A95AC1" w:rsidRPr="00A95AC1">
              <w:t>N/A</w:t>
            </w:r>
          </w:p>
        </w:tc>
        <w:tc>
          <w:tcPr>
            <w:tcW w:w="2160" w:type="dxa"/>
            <w:gridSpan w:val="3"/>
            <w:vMerge w:val="restart"/>
            <w:tcBorders>
              <w:top w:val="single" w:sz="4" w:space="0" w:color="BFBFBF" w:themeColor="background1" w:themeShade="BF"/>
              <w:left w:val="nil"/>
              <w:right w:val="single" w:sz="4" w:space="0" w:color="BFBFBF" w:themeColor="background1" w:themeShade="BF"/>
            </w:tcBorders>
            <w:shd w:val="clear" w:color="auto" w:fill="auto"/>
            <w:tcMar>
              <w:left w:w="58" w:type="dxa"/>
              <w:right w:w="58" w:type="dxa"/>
            </w:tcMar>
            <w:vAlign w:val="center"/>
          </w:tcPr>
          <w:p w14:paraId="5DC7BFF4" w14:textId="5D3436AF" w:rsidR="00A95AC1" w:rsidRPr="003470BA" w:rsidRDefault="007D02AA" w:rsidP="00283E95">
            <w:pPr>
              <w:pStyle w:val="H3"/>
              <w:jc w:val="center"/>
            </w:pPr>
            <w:r w:rsidRPr="007D02AA">
              <w:t>2</w:t>
            </w:r>
            <w:r w:rsidRPr="007D02AA">
              <w:rPr>
                <w:vertAlign w:val="superscript"/>
              </w:rPr>
              <w:t>e</w:t>
            </w:r>
            <w:r w:rsidRPr="007D02AA">
              <w:t xml:space="preserve"> </w:t>
            </w:r>
            <w:proofErr w:type="spellStart"/>
            <w:r w:rsidRPr="007D02AA">
              <w:t>année</w:t>
            </w:r>
            <w:proofErr w:type="spellEnd"/>
          </w:p>
          <w:p w14:paraId="34C122B6" w14:textId="3DFA2424" w:rsidR="00A95AC1" w:rsidRPr="003470BA" w:rsidRDefault="00D27C4F" w:rsidP="00D27C4F">
            <w:pPr>
              <w:pStyle w:val="TableHeaders"/>
              <w:tabs>
                <w:tab w:val="left" w:pos="664"/>
                <w:tab w:val="left" w:pos="1656"/>
              </w:tabs>
              <w:ind w:left="97"/>
            </w:pPr>
            <w:r>
              <w:t>Fait</w:t>
            </w:r>
            <w:r>
              <w:rPr>
                <w:rStyle w:val="H2-Subheading"/>
                <w:b w:val="0"/>
                <w:bCs w:val="0"/>
              </w:rPr>
              <w:t xml:space="preserve"> </w:t>
            </w:r>
            <w:r w:rsidR="00A95AC1">
              <w:rPr>
                <w:rStyle w:val="H2-Subheading"/>
                <w:b w:val="0"/>
                <w:bCs w:val="0"/>
              </w:rPr>
              <w:tab/>
            </w:r>
            <w:r>
              <w:t>Pas f</w:t>
            </w:r>
            <w:r>
              <w:t>ait</w:t>
            </w:r>
            <w:r>
              <w:rPr>
                <w:rStyle w:val="H2-Subheading"/>
                <w:b w:val="0"/>
                <w:bCs w:val="0"/>
              </w:rPr>
              <w:t xml:space="preserve"> </w:t>
            </w:r>
            <w:r w:rsidR="00A95AC1">
              <w:rPr>
                <w:rStyle w:val="H2-Subheading"/>
                <w:b w:val="0"/>
                <w:bCs w:val="0"/>
              </w:rPr>
              <w:tab/>
            </w:r>
            <w:r w:rsidR="00A95AC1" w:rsidRPr="00A95AC1">
              <w:t>N/A</w:t>
            </w:r>
          </w:p>
        </w:tc>
        <w:tc>
          <w:tcPr>
            <w:tcW w:w="6840" w:type="dxa"/>
            <w:gridSpan w:val="2"/>
            <w:tcBorders>
              <w:top w:val="single" w:sz="4" w:space="0" w:color="FFFFFF" w:themeColor="background1"/>
              <w:left w:val="single" w:sz="4" w:space="0" w:color="BFBFBF" w:themeColor="background1" w:themeShade="BF"/>
              <w:bottom w:val="nil"/>
              <w:right w:val="single" w:sz="4" w:space="0" w:color="FFFFFF" w:themeColor="background1"/>
            </w:tcBorders>
            <w:tcMar>
              <w:left w:w="58" w:type="dxa"/>
              <w:right w:w="58" w:type="dxa"/>
            </w:tcMar>
          </w:tcPr>
          <w:p w14:paraId="705D6D97" w14:textId="77777777" w:rsidR="00A95AC1" w:rsidRPr="003470BA" w:rsidRDefault="00A95AC1" w:rsidP="00283E95">
            <w:pPr>
              <w:pStyle w:val="NoSpacing"/>
            </w:pPr>
          </w:p>
        </w:tc>
      </w:tr>
      <w:tr w:rsidR="00A95AC1" w:rsidRPr="003470BA" w14:paraId="5D7F0A29" w14:textId="77777777" w:rsidTr="00CF374F">
        <w:trPr>
          <w:trHeight w:val="20"/>
        </w:trPr>
        <w:tc>
          <w:tcPr>
            <w:tcW w:w="1795" w:type="dxa"/>
            <w:gridSpan w:val="3"/>
            <w:vMerge/>
            <w:tcBorders>
              <w:left w:val="single" w:sz="4"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52720CB9" w14:textId="14EDF505" w:rsidR="00A95AC1" w:rsidRPr="00A95AC1" w:rsidRDefault="00A95AC1" w:rsidP="00283E95">
            <w:pPr>
              <w:pStyle w:val="TableHeaders"/>
            </w:pPr>
          </w:p>
        </w:tc>
        <w:tc>
          <w:tcPr>
            <w:tcW w:w="2160" w:type="dxa"/>
            <w:gridSpan w:val="3"/>
            <w:vMerge/>
            <w:tcBorders>
              <w:left w:val="nil"/>
              <w:bottom w:val="single" w:sz="8" w:space="0" w:color="BFBFBF" w:themeColor="background1" w:themeShade="BF"/>
              <w:right w:val="single" w:sz="4" w:space="0" w:color="BFBFBF" w:themeColor="background1" w:themeShade="BF"/>
            </w:tcBorders>
            <w:tcMar>
              <w:left w:w="58" w:type="dxa"/>
              <w:right w:w="58" w:type="dxa"/>
            </w:tcMar>
            <w:vAlign w:val="center"/>
          </w:tcPr>
          <w:p w14:paraId="77500223" w14:textId="62C7B487" w:rsidR="00A95AC1" w:rsidRPr="00A95AC1" w:rsidRDefault="00A95AC1" w:rsidP="00283E95">
            <w:pPr>
              <w:pStyle w:val="TableHeaders"/>
            </w:pPr>
          </w:p>
        </w:tc>
        <w:tc>
          <w:tcPr>
            <w:tcW w:w="3101"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bottom"/>
          </w:tcPr>
          <w:p w14:paraId="536EE2F6" w14:textId="2289EB7B" w:rsidR="00A95AC1" w:rsidRPr="003470BA" w:rsidRDefault="00BB4AD9" w:rsidP="00283E95">
            <w:pPr>
              <w:pStyle w:val="TableHeaders"/>
            </w:pPr>
            <w:proofErr w:type="spellStart"/>
            <w:r w:rsidRPr="00BB4AD9">
              <w:t>Évaluation</w:t>
            </w:r>
            <w:proofErr w:type="spellEnd"/>
          </w:p>
        </w:tc>
        <w:tc>
          <w:tcPr>
            <w:tcW w:w="3739" w:type="dxa"/>
            <w:tcBorders>
              <w:top w:val="single" w:sz="4" w:space="0" w:color="BFBFBF" w:themeColor="background1" w:themeShade="BF"/>
              <w:left w:val="single" w:sz="4" w:space="0" w:color="BFBFBF" w:themeColor="background1" w:themeShade="BF"/>
              <w:bottom w:val="single" w:sz="4" w:space="0" w:color="D0CECE"/>
              <w:right w:val="single" w:sz="4" w:space="0" w:color="BFBFBF" w:themeColor="background1" w:themeShade="BF"/>
            </w:tcBorders>
            <w:tcMar>
              <w:left w:w="58" w:type="dxa"/>
              <w:right w:w="58" w:type="dxa"/>
            </w:tcMar>
            <w:vAlign w:val="bottom"/>
          </w:tcPr>
          <w:p w14:paraId="6005E715" w14:textId="6DAA218F" w:rsidR="00A95AC1" w:rsidRPr="003470BA" w:rsidRDefault="000C277B" w:rsidP="00283E95">
            <w:pPr>
              <w:pStyle w:val="TableHeaders"/>
            </w:pPr>
            <w:r w:rsidRPr="000C277B">
              <w:t>Remarques</w:t>
            </w:r>
          </w:p>
        </w:tc>
      </w:tr>
      <w:tr w:rsidR="00A95AC1" w:rsidRPr="003470BA" w14:paraId="3560747A" w14:textId="77777777" w:rsidTr="00CF374F">
        <w:trPr>
          <w:trHeight w:val="187"/>
        </w:trPr>
        <w:tc>
          <w:tcPr>
            <w:tcW w:w="535" w:type="dxa"/>
            <w:tcBorders>
              <w:top w:val="nil"/>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6DB5B88F"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720" w:type="dxa"/>
            <w:tcBorders>
              <w:top w:val="nil"/>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6F7634D7"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540" w:type="dxa"/>
            <w:tcBorders>
              <w:top w:val="nil"/>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24D615B7"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540" w:type="dxa"/>
            <w:tcBorders>
              <w:top w:val="nil"/>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440BDFD4"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810" w:type="dxa"/>
            <w:tcBorders>
              <w:top w:val="nil"/>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16969365"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810" w:type="dxa"/>
            <w:tcBorders>
              <w:top w:val="nil"/>
              <w:left w:val="dotted" w:sz="8" w:space="0" w:color="BFBFBF" w:themeColor="background1" w:themeShade="BF"/>
              <w:bottom w:val="single" w:sz="8" w:space="0" w:color="BFBFBF" w:themeColor="background1" w:themeShade="BF"/>
            </w:tcBorders>
            <w:tcMar>
              <w:left w:w="58" w:type="dxa"/>
              <w:right w:w="58" w:type="dxa"/>
            </w:tcMar>
            <w:vAlign w:val="center"/>
          </w:tcPr>
          <w:p w14:paraId="29A15931"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DE77BED" w14:textId="03EF1BC7" w:rsidR="00A95AC1" w:rsidRPr="00E21523" w:rsidRDefault="000C277B" w:rsidP="00283E95">
            <w:pPr>
              <w:pStyle w:val="NoSpacing"/>
              <w:rPr>
                <w:rFonts w:cs="Segoe UI Symbol"/>
              </w:rPr>
            </w:pPr>
            <w:r w:rsidRPr="000C277B">
              <w:rPr>
                <w:lang w:val="fr-CA"/>
              </w:rPr>
              <w:t>Liste des médicaments à jour</w:t>
            </w:r>
            <w:r w:rsidR="00A95AC1" w:rsidRPr="00E21523">
              <w:rPr>
                <w:rStyle w:val="EndnoteReference"/>
              </w:rPr>
              <w:endnoteReference w:id="49"/>
            </w:r>
          </w:p>
        </w:tc>
        <w:tc>
          <w:tcPr>
            <w:tcW w:w="3739" w:type="dxa"/>
            <w:vMerge w:val="restart"/>
            <w:tcBorders>
              <w:top w:val="single" w:sz="4" w:space="0" w:color="D0CECE"/>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tcPr>
          <w:p w14:paraId="2771182D" w14:textId="77777777" w:rsidR="00A95AC1" w:rsidRPr="003470BA" w:rsidRDefault="00A95AC1" w:rsidP="00283E95"/>
          <w:p w14:paraId="38B93CDB" w14:textId="77777777" w:rsidR="00A95AC1" w:rsidRPr="003470BA" w:rsidRDefault="00A95AC1" w:rsidP="00283E95">
            <w:pPr>
              <w:pStyle w:val="NoSpacing"/>
            </w:pPr>
          </w:p>
        </w:tc>
      </w:tr>
      <w:tr w:rsidR="00A95AC1" w:rsidRPr="003470BA" w14:paraId="4DC18B4C"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124A37AF" w14:textId="34F140C5"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4447014D" w14:textId="524A595A"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7309C0CF" w14:textId="36BF5217"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5836BD3C" w14:textId="3B406DA4"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47068056" w14:textId="7F4B51AE"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5F763F67" w14:textId="5FCA9FBB"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566B3C4A" w14:textId="773673DD" w:rsidR="00A95AC1" w:rsidRPr="00E21523" w:rsidRDefault="000C277B" w:rsidP="00283E95">
            <w:pPr>
              <w:pStyle w:val="NoSpacing"/>
            </w:pPr>
            <w:r w:rsidRPr="000C277B">
              <w:rPr>
                <w:lang w:val="fr-CA"/>
              </w:rPr>
              <w:t>Analyses de laboratoire ou d'imagerie prévues</w:t>
            </w:r>
            <w:r w:rsidR="00A95AC1" w:rsidRPr="00E21523">
              <w:rPr>
                <w:rStyle w:val="EndnoteReference"/>
              </w:rPr>
              <w:endnoteReference w:id="50"/>
            </w:r>
            <w:r w:rsidR="00A95AC1" w:rsidRPr="00E21523">
              <w:t xml:space="preserve"> </w:t>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6AF4D5F8" w14:textId="77777777" w:rsidR="00A95AC1" w:rsidRPr="003470BA" w:rsidRDefault="00A95AC1" w:rsidP="00283E95">
            <w:pPr>
              <w:pStyle w:val="NoSpacing"/>
            </w:pPr>
          </w:p>
        </w:tc>
      </w:tr>
      <w:tr w:rsidR="00A95AC1" w:rsidRPr="003470BA" w14:paraId="6493A3C9"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5BE2BA7D" w14:textId="264E88EE"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24193C4E" w14:textId="0952B5BA"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772B4F94" w14:textId="64BD0F39"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5398D966" w14:textId="31BAF57C"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29D908FB" w14:textId="07897E8B"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063A4061" w14:textId="7B5E9FEC"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3C48FC0" w14:textId="2EDBD1C3" w:rsidR="00A95AC1" w:rsidRPr="00E21523" w:rsidRDefault="000C277B" w:rsidP="00283E95">
            <w:pPr>
              <w:pStyle w:val="NoSpacing"/>
            </w:pPr>
            <w:r w:rsidRPr="000C277B">
              <w:rPr>
                <w:lang w:val="fr-CA"/>
              </w:rPr>
              <w:t>Mesures préventives et de dépistage prévues</w:t>
            </w:r>
            <w:r w:rsidR="00A95AC1" w:rsidRPr="00E21523">
              <w:rPr>
                <w:rStyle w:val="EndnoteReference"/>
              </w:rPr>
              <w:endnoteReference w:id="51"/>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26CB694E" w14:textId="77777777" w:rsidR="00A95AC1" w:rsidRPr="003470BA" w:rsidRDefault="00A95AC1" w:rsidP="00283E95">
            <w:pPr>
              <w:pStyle w:val="NoSpacing"/>
            </w:pPr>
          </w:p>
        </w:tc>
      </w:tr>
      <w:tr w:rsidR="00A95AC1" w:rsidRPr="003470BA" w14:paraId="295F3FB4"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065B06A4" w14:textId="2DE7D141"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6D1A6551" w14:textId="451266DA"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28ADC6EB" w14:textId="43FDF9DD"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2DB4EDD4" w14:textId="6C6865C5"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1114AA4C" w14:textId="40C85790"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60D5D5A3" w14:textId="782A1C83"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671B89E" w14:textId="55E04E00" w:rsidR="00A95AC1" w:rsidRPr="00E21523" w:rsidRDefault="000C277B" w:rsidP="00283E95">
            <w:pPr>
              <w:pStyle w:val="NoSpacing"/>
            </w:pPr>
            <w:r w:rsidRPr="000C277B">
              <w:t xml:space="preserve">Vaccination </w:t>
            </w:r>
            <w:proofErr w:type="spellStart"/>
            <w:r w:rsidRPr="000C277B">
              <w:t>requise</w:t>
            </w:r>
            <w:proofErr w:type="spellEnd"/>
            <w:r w:rsidR="00A95AC1" w:rsidRPr="00E21523">
              <w:rPr>
                <w:rStyle w:val="EndnoteReference"/>
              </w:rPr>
              <w:endnoteReference w:id="52"/>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53C4362D" w14:textId="77777777" w:rsidR="00A95AC1" w:rsidRPr="003470BA" w:rsidRDefault="00A95AC1" w:rsidP="00283E95">
            <w:pPr>
              <w:pStyle w:val="NoSpacing"/>
            </w:pPr>
          </w:p>
        </w:tc>
      </w:tr>
      <w:tr w:rsidR="00A95AC1" w:rsidRPr="003470BA" w14:paraId="4F85638B"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3A0D1235" w14:textId="31536655"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22806069" w14:textId="6E00A191"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31FF57DD" w14:textId="01676C4E"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2BDA8A36" w14:textId="7C151A98"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79F4F3AF" w14:textId="60D40A93"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45357803" w14:textId="0294D07E"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F49D33F" w14:textId="3B7ED089" w:rsidR="00A95AC1" w:rsidRPr="00E21523" w:rsidRDefault="000C277B" w:rsidP="00283E95">
            <w:pPr>
              <w:pStyle w:val="NoSpacing"/>
            </w:pPr>
            <w:r w:rsidRPr="000C277B">
              <w:t xml:space="preserve">Consultations </w:t>
            </w:r>
            <w:proofErr w:type="spellStart"/>
            <w:r w:rsidRPr="000C277B">
              <w:t>requises</w:t>
            </w:r>
            <w:proofErr w:type="spellEnd"/>
            <w:r w:rsidR="00A95AC1" w:rsidRPr="00E21523">
              <w:rPr>
                <w:rStyle w:val="EndnoteReference"/>
              </w:rPr>
              <w:endnoteReference w:id="53"/>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3E39EEA7" w14:textId="77777777" w:rsidR="00A95AC1" w:rsidRPr="003470BA" w:rsidRDefault="00A95AC1" w:rsidP="00283E95">
            <w:pPr>
              <w:pStyle w:val="NoSpacing"/>
            </w:pPr>
          </w:p>
        </w:tc>
      </w:tr>
      <w:tr w:rsidR="00A95AC1" w:rsidRPr="003470BA" w14:paraId="119D24B1"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0F349717" w14:textId="67899BCD" w:rsidR="00A95AC1" w:rsidRPr="003470BA" w:rsidRDefault="00A95AC1" w:rsidP="00283E95">
            <w:pPr>
              <w:pStyle w:val="NoSpacing"/>
              <w:jc w:val="center"/>
            </w:pPr>
            <w:r w:rsidRPr="003470BA">
              <w:rPr>
                <w:rFonts w:ascii="Segoe UI Symbol" w:hAnsi="Segoe UI Symbol" w:cs="Segoe UI Symbol"/>
              </w:rPr>
              <w:lastRenderedPageBreak/>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6F94F823" w14:textId="294338DB"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41004C0E" w14:textId="77B297B7"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437279F2" w14:textId="50AA25F0"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19BD0FFC" w14:textId="41A68C62"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051AEC93" w14:textId="220F31D7"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74F27574" w14:textId="1CD9EE1E" w:rsidR="00A95AC1" w:rsidRPr="00E21523" w:rsidRDefault="000C277B" w:rsidP="00283E95">
            <w:pPr>
              <w:pStyle w:val="NoSpacing"/>
            </w:pPr>
            <w:r w:rsidRPr="000C277B">
              <w:rPr>
                <w:lang w:val="fr-CA"/>
              </w:rPr>
              <w:t>Outils de surveillance des symptômes recommandés</w:t>
            </w:r>
            <w:r w:rsidR="00A95AC1" w:rsidRPr="00E21523">
              <w:rPr>
                <w:rStyle w:val="EndnoteReference"/>
              </w:rPr>
              <w:endnoteReference w:id="54"/>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1490C9DF" w14:textId="77777777" w:rsidR="00A95AC1" w:rsidRPr="003470BA" w:rsidRDefault="00A95AC1" w:rsidP="00283E95">
            <w:pPr>
              <w:pStyle w:val="NoSpacing"/>
            </w:pPr>
          </w:p>
        </w:tc>
      </w:tr>
      <w:tr w:rsidR="00A95AC1" w:rsidRPr="003470BA" w14:paraId="7C623F81"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50B2D13F" w14:textId="252AE7E8"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77123014" w14:textId="12E8E2BB"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0FCB7970" w14:textId="19734E35"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0BFE6F12" w14:textId="2A7E579C"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3AF7AD8D" w14:textId="2D64636B"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4AC9D3E9" w14:textId="3BF7C433"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3BD37BBE" w14:textId="49F1B06B" w:rsidR="00A95AC1" w:rsidRPr="00E21523" w:rsidRDefault="000C277B" w:rsidP="00283E95">
            <w:pPr>
              <w:pStyle w:val="NoSpacing"/>
            </w:pPr>
            <w:r w:rsidRPr="000C277B">
              <w:rPr>
                <w:lang w:val="fr-CA"/>
              </w:rPr>
              <w:t>Matériel éducatif du patient distribué</w:t>
            </w:r>
            <w:r w:rsidR="00A95AC1" w:rsidRPr="00E21523">
              <w:rPr>
                <w:rStyle w:val="EndnoteReference"/>
              </w:rPr>
              <w:endnoteReference w:id="55"/>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3B3F09A8" w14:textId="77777777" w:rsidR="00A95AC1" w:rsidRPr="003470BA" w:rsidRDefault="00A95AC1" w:rsidP="00283E95">
            <w:pPr>
              <w:pStyle w:val="NoSpacing"/>
            </w:pPr>
          </w:p>
        </w:tc>
      </w:tr>
      <w:tr w:rsidR="00A95AC1" w:rsidRPr="003470BA" w14:paraId="55B073EC"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6CC94FE5" w14:textId="7A0F805A"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020AEFB8" w14:textId="0B4EEA1E"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789B0C21" w14:textId="778BF688"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6F2D4739" w14:textId="4BF3B2F8"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37124294" w14:textId="7F46D536"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5290FEC2" w14:textId="2B2EA0C3"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F8A2DE6" w14:textId="43A4F588" w:rsidR="00A95AC1" w:rsidRPr="00E21523" w:rsidRDefault="000C277B" w:rsidP="00283E95">
            <w:pPr>
              <w:pStyle w:val="NoSpacing"/>
            </w:pPr>
            <w:proofErr w:type="spellStart"/>
            <w:r w:rsidRPr="000C277B">
              <w:t>Ressources</w:t>
            </w:r>
            <w:proofErr w:type="spellEnd"/>
            <w:r w:rsidRPr="000C277B">
              <w:t xml:space="preserve"> </w:t>
            </w:r>
            <w:proofErr w:type="spellStart"/>
            <w:r w:rsidRPr="000C277B">
              <w:t>financières</w:t>
            </w:r>
            <w:proofErr w:type="spellEnd"/>
            <w:r w:rsidRPr="000C277B">
              <w:t xml:space="preserve"> </w:t>
            </w:r>
            <w:proofErr w:type="spellStart"/>
            <w:r w:rsidRPr="000C277B">
              <w:t>requises</w:t>
            </w:r>
            <w:proofErr w:type="spellEnd"/>
            <w:r w:rsidR="00A95AC1" w:rsidRPr="00E21523">
              <w:rPr>
                <w:rStyle w:val="EndnoteReference"/>
              </w:rPr>
              <w:endnoteReference w:id="56"/>
            </w:r>
            <w:r w:rsidR="00A95AC1" w:rsidRPr="00E21523">
              <w:t xml:space="preserve"> </w:t>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130F86BB" w14:textId="77777777" w:rsidR="00A95AC1" w:rsidRPr="003470BA" w:rsidRDefault="00A95AC1" w:rsidP="00283E95">
            <w:pPr>
              <w:pStyle w:val="NoSpacing"/>
            </w:pPr>
          </w:p>
        </w:tc>
      </w:tr>
      <w:tr w:rsidR="00A95AC1" w:rsidRPr="003470BA" w14:paraId="65CF3497"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752F1E66" w14:textId="3FBBEB11"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2BAE2CB6" w14:textId="6D782DA1"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53F60D1F" w14:textId="4F7DB0D9"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21623149" w14:textId="5F25AFE1"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4F097AE3" w14:textId="5B6E748C"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39BC273D" w14:textId="36DA1036"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023A21A9" w14:textId="01F22018" w:rsidR="00A95AC1" w:rsidRPr="00E21523" w:rsidRDefault="000C277B" w:rsidP="00283E95">
            <w:pPr>
              <w:pStyle w:val="NoSpacing"/>
            </w:pPr>
            <w:r w:rsidRPr="000C277B">
              <w:rPr>
                <w:lang w:val="fr-CA"/>
              </w:rPr>
              <w:t>Rendez-vous de suivi prévu</w:t>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0B2A0359" w14:textId="77777777" w:rsidR="00A95AC1" w:rsidRPr="003470BA" w:rsidRDefault="00A95AC1" w:rsidP="00283E95">
            <w:pPr>
              <w:pStyle w:val="NoSpacing"/>
            </w:pPr>
          </w:p>
        </w:tc>
      </w:tr>
      <w:tr w:rsidR="00A95AC1" w:rsidRPr="003470BA" w14:paraId="7527A1BE"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37D36388" w14:textId="2735B415" w:rsidR="00A95AC1" w:rsidRPr="003470BA" w:rsidRDefault="00A95AC1" w:rsidP="00283E95">
            <w:pPr>
              <w:pStyle w:val="NoSpacing"/>
              <w:jc w:val="cente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439E2163" w14:textId="367B6430"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2473A9A9" w14:textId="23F64EF9" w:rsidR="00A95AC1" w:rsidRPr="003470BA" w:rsidRDefault="00A95AC1" w:rsidP="00283E95">
            <w:pPr>
              <w:pStyle w:val="NoSpacing"/>
              <w:jc w:val="cente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044071F2" w14:textId="43D93822"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375FF136" w14:textId="377A097C" w:rsidR="00A95AC1" w:rsidRPr="003470BA" w:rsidRDefault="00A95AC1" w:rsidP="00283E95">
            <w:pPr>
              <w:pStyle w:val="NoSpacing"/>
              <w:jc w:val="cente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76B5631B" w14:textId="66ACCA5F" w:rsidR="00A95AC1" w:rsidRPr="003470BA" w:rsidRDefault="00A95AC1" w:rsidP="00283E95">
            <w:pPr>
              <w:pStyle w:val="NoSpacing"/>
              <w:jc w:val="cente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27A7EF62" w14:textId="406B1EF4" w:rsidR="00A95AC1" w:rsidRPr="00E21523" w:rsidRDefault="000C277B" w:rsidP="00283E95">
            <w:pPr>
              <w:pStyle w:val="NoSpacing"/>
            </w:pPr>
            <w:r w:rsidRPr="000C277B">
              <w:rPr>
                <w:lang w:val="fr-CA"/>
              </w:rPr>
              <w:t>Rapport de rendez-vous donné au patient</w:t>
            </w:r>
            <w:r w:rsidR="00A95AC1" w:rsidRPr="00E21523">
              <w:rPr>
                <w:rStyle w:val="EndnoteReference"/>
              </w:rPr>
              <w:endnoteReference w:id="57"/>
            </w:r>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70973DB8" w14:textId="77777777" w:rsidR="00A95AC1" w:rsidRPr="003470BA" w:rsidRDefault="00A95AC1" w:rsidP="00283E95">
            <w:pPr>
              <w:pStyle w:val="NoSpacing"/>
            </w:pPr>
          </w:p>
        </w:tc>
      </w:tr>
      <w:tr w:rsidR="00A95AC1" w:rsidRPr="003470BA" w14:paraId="72830AF0" w14:textId="77777777" w:rsidTr="00283E95">
        <w:trPr>
          <w:trHeight w:val="187"/>
        </w:trPr>
        <w:tc>
          <w:tcPr>
            <w:tcW w:w="535" w:type="dxa"/>
            <w:tcBorders>
              <w:top w:val="single" w:sz="8" w:space="0" w:color="BFBFBF" w:themeColor="background1" w:themeShade="BF"/>
              <w:left w:val="single" w:sz="4"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50613AC5"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72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shd w:val="clear" w:color="auto" w:fill="F2F2F2" w:themeFill="background1" w:themeFillShade="F2"/>
            <w:tcMar>
              <w:left w:w="58" w:type="dxa"/>
              <w:right w:w="58" w:type="dxa"/>
            </w:tcMar>
            <w:vAlign w:val="center"/>
          </w:tcPr>
          <w:p w14:paraId="3D187839"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540" w:type="dxa"/>
            <w:tcBorders>
              <w:top w:val="single" w:sz="8" w:space="0" w:color="BFBFBF" w:themeColor="background1" w:themeShade="BF"/>
              <w:left w:val="dotted" w:sz="8" w:space="0" w:color="BFBFBF" w:themeColor="background1" w:themeShade="BF"/>
              <w:bottom w:val="single" w:sz="8" w:space="0" w:color="BFBFBF" w:themeColor="background1" w:themeShade="BF"/>
              <w:right w:val="nil"/>
            </w:tcBorders>
            <w:shd w:val="clear" w:color="auto" w:fill="F2F2F2" w:themeFill="background1" w:themeFillShade="F2"/>
            <w:tcMar>
              <w:left w:w="58" w:type="dxa"/>
              <w:right w:w="58" w:type="dxa"/>
            </w:tcMar>
            <w:vAlign w:val="center"/>
          </w:tcPr>
          <w:p w14:paraId="6EC908AF"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540" w:type="dxa"/>
            <w:tcBorders>
              <w:top w:val="single" w:sz="8" w:space="0" w:color="BFBFBF" w:themeColor="background1" w:themeShade="BF"/>
              <w:left w:val="nil"/>
              <w:bottom w:val="single" w:sz="8" w:space="0" w:color="BFBFBF" w:themeColor="background1" w:themeShade="BF"/>
              <w:right w:val="dotted" w:sz="8" w:space="0" w:color="BFBFBF" w:themeColor="background1" w:themeShade="BF"/>
            </w:tcBorders>
            <w:tcMar>
              <w:left w:w="58" w:type="dxa"/>
              <w:right w:w="58" w:type="dxa"/>
            </w:tcMar>
            <w:vAlign w:val="center"/>
          </w:tcPr>
          <w:p w14:paraId="315F0395"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right w:val="dotted" w:sz="8" w:space="0" w:color="BFBFBF" w:themeColor="background1" w:themeShade="BF"/>
            </w:tcBorders>
            <w:tcMar>
              <w:left w:w="58" w:type="dxa"/>
              <w:right w:w="58" w:type="dxa"/>
            </w:tcMar>
            <w:vAlign w:val="center"/>
          </w:tcPr>
          <w:p w14:paraId="25193516"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810" w:type="dxa"/>
            <w:tcBorders>
              <w:top w:val="single" w:sz="8" w:space="0" w:color="BFBFBF" w:themeColor="background1" w:themeShade="BF"/>
              <w:left w:val="dotted" w:sz="8" w:space="0" w:color="BFBFBF" w:themeColor="background1" w:themeShade="BF"/>
              <w:bottom w:val="single" w:sz="8" w:space="0" w:color="BFBFBF" w:themeColor="background1" w:themeShade="BF"/>
            </w:tcBorders>
            <w:tcMar>
              <w:left w:w="58" w:type="dxa"/>
              <w:right w:w="58" w:type="dxa"/>
            </w:tcMar>
            <w:vAlign w:val="center"/>
          </w:tcPr>
          <w:p w14:paraId="53164B2F" w14:textId="77777777" w:rsidR="00A95AC1" w:rsidRPr="003470BA" w:rsidRDefault="00A95AC1" w:rsidP="00283E95">
            <w:pPr>
              <w:pStyle w:val="NoSpacing"/>
              <w:jc w:val="center"/>
              <w:rPr>
                <w:sz w:val="28"/>
                <w:szCs w:val="28"/>
              </w:rPr>
            </w:pPr>
            <w:r w:rsidRPr="003470BA">
              <w:rPr>
                <w:rFonts w:ascii="Segoe UI Symbol" w:hAnsi="Segoe UI Symbol" w:cs="Segoe UI Symbol"/>
              </w:rPr>
              <w:t>☐</w:t>
            </w:r>
          </w:p>
        </w:tc>
        <w:tc>
          <w:tcPr>
            <w:tcW w:w="3101" w:type="dxa"/>
            <w:tcBorders>
              <w:top w:val="single" w:sz="8" w:space="0" w:color="BFBFBF" w:themeColor="background1" w:themeShade="BF"/>
              <w:left w:val="dotted" w:sz="8" w:space="0" w:color="BFBFBF" w:themeColor="background1" w:themeShade="BF"/>
              <w:bottom w:val="single" w:sz="8" w:space="0" w:color="BFBFBF" w:themeColor="background1" w:themeShade="BF"/>
              <w:right w:val="single" w:sz="4" w:space="0" w:color="BFBFBF" w:themeColor="background1" w:themeShade="BF"/>
            </w:tcBorders>
            <w:tcMar>
              <w:left w:w="58" w:type="dxa"/>
              <w:right w:w="58" w:type="dxa"/>
            </w:tcMar>
            <w:vAlign w:val="center"/>
          </w:tcPr>
          <w:p w14:paraId="194F1AC6" w14:textId="1E3D7C63" w:rsidR="00A95AC1" w:rsidRPr="00E21523" w:rsidRDefault="000C277B" w:rsidP="00283E95">
            <w:pPr>
              <w:pStyle w:val="NoSpacing"/>
              <w:rPr>
                <w:rFonts w:cs="Segoe UI Symbol"/>
              </w:rPr>
            </w:pPr>
            <w:proofErr w:type="spellStart"/>
            <w:r>
              <w:t>Autre</w:t>
            </w:r>
            <w:proofErr w:type="spellEnd"/>
          </w:p>
        </w:tc>
        <w:tc>
          <w:tcPr>
            <w:tcW w:w="373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8" w:type="dxa"/>
              <w:right w:w="58" w:type="dxa"/>
            </w:tcMar>
            <w:vAlign w:val="center"/>
          </w:tcPr>
          <w:p w14:paraId="0AC2E976" w14:textId="77777777" w:rsidR="00A95AC1" w:rsidRPr="003470BA" w:rsidRDefault="00A95AC1" w:rsidP="00283E95">
            <w:pPr>
              <w:pStyle w:val="NoSpacing"/>
            </w:pPr>
          </w:p>
        </w:tc>
      </w:tr>
      <w:bookmarkEnd w:id="0"/>
      <w:bookmarkEnd w:id="2"/>
      <w:bookmarkEnd w:id="3"/>
    </w:tbl>
    <w:p w14:paraId="71C1D8AE" w14:textId="3BDD0AE2" w:rsidR="00954275" w:rsidRPr="003470BA" w:rsidRDefault="00954275" w:rsidP="00941025">
      <w:pPr>
        <w:sectPr w:rsidR="00954275" w:rsidRPr="003470BA" w:rsidSect="00EB6A7A">
          <w:endnotePr>
            <w:numFmt w:val="decimal"/>
            <w:numStart w:val="2"/>
          </w:endnotePr>
          <w:type w:val="continuous"/>
          <w:pgSz w:w="12240" w:h="15840"/>
          <w:pgMar w:top="851" w:right="540" w:bottom="1135" w:left="720" w:header="432" w:footer="564" w:gutter="0"/>
          <w:pgNumType w:fmt="lowerRoman" w:start="1"/>
          <w:cols w:space="708"/>
          <w:titlePg/>
          <w:docGrid w:linePitch="360"/>
        </w:sectPr>
      </w:pPr>
    </w:p>
    <w:p w14:paraId="6A6B49F3" w14:textId="3246ED8E" w:rsidR="00253DC3" w:rsidRPr="00EB6A7A" w:rsidRDefault="00253DC3" w:rsidP="0069562C">
      <w:pPr>
        <w:spacing w:after="0" w:line="240" w:lineRule="auto"/>
        <w:rPr>
          <w:rFonts w:ascii="Lato" w:hAnsi="Lato"/>
          <w:sz w:val="16"/>
          <w:szCs w:val="16"/>
        </w:rPr>
      </w:pPr>
    </w:p>
    <w:sectPr w:rsidR="00253DC3" w:rsidRPr="00EB6A7A" w:rsidSect="00EB6A7A">
      <w:headerReference w:type="default" r:id="rId15"/>
      <w:headerReference w:type="first" r:id="rId16"/>
      <w:endnotePr>
        <w:numFmt w:val="decimal"/>
      </w:endnotePr>
      <w:pgSz w:w="12240" w:h="15840" w:code="1"/>
      <w:pgMar w:top="593" w:right="720" w:bottom="720" w:left="720" w:header="846" w:footer="509" w:gutter="0"/>
      <w:pgNumType w:fmt="upperRoman"/>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5682" w14:textId="77777777" w:rsidR="007978FC" w:rsidRDefault="007978FC" w:rsidP="00941025">
      <w:r>
        <w:separator/>
      </w:r>
    </w:p>
  </w:endnote>
  <w:endnote w:type="continuationSeparator" w:id="0">
    <w:p w14:paraId="0B17D161" w14:textId="77777777" w:rsidR="007978FC" w:rsidRDefault="007978FC" w:rsidP="00941025">
      <w:r>
        <w:continuationSeparator/>
      </w:r>
    </w:p>
  </w:endnote>
  <w:endnote w:type="continuationNotice" w:id="1">
    <w:p w14:paraId="3A4E13A2" w14:textId="77777777" w:rsidR="007978FC" w:rsidRDefault="007978FC" w:rsidP="00941025"/>
  </w:endnote>
  <w:endnote w:id="2">
    <w:p w14:paraId="7C5349CF" w14:textId="3CA8E5DD" w:rsidR="00CF374F" w:rsidRDefault="00CF374F" w:rsidP="0069562C">
      <w:pPr>
        <w:pStyle w:val="Endnote-H4"/>
        <w:spacing w:before="0" w:after="0"/>
        <w:ind w:left="0" w:firstLine="0"/>
      </w:pPr>
      <w:r>
        <w:rPr>
          <w:rStyle w:val="EndnoteReference"/>
        </w:rPr>
        <w:endnoteRef/>
      </w:r>
      <w:r>
        <w:t xml:space="preserve"> </w:t>
      </w:r>
      <w:r w:rsidRPr="00C35E5B">
        <w:t>Introduction</w:t>
      </w:r>
    </w:p>
    <w:p w14:paraId="224380BD" w14:textId="3015D5B0" w:rsidR="00CF374F" w:rsidRPr="0028796D" w:rsidRDefault="0028796D" w:rsidP="0028796D">
      <w:pPr>
        <w:pStyle w:val="Endnote-Link"/>
        <w:spacing w:after="0"/>
        <w:rPr>
          <w:rFonts w:ascii="Lato" w:hAnsi="Lato"/>
          <w:b/>
          <w:bCs/>
          <w:sz w:val="16"/>
          <w:szCs w:val="16"/>
          <w:lang w:val="fr-CA"/>
        </w:rPr>
      </w:pPr>
      <w:r w:rsidRPr="0028796D">
        <w:rPr>
          <w:rFonts w:ascii="Lato" w:hAnsi="Lato"/>
          <w:b/>
          <w:bCs/>
          <w:sz w:val="16"/>
          <w:szCs w:val="16"/>
          <w:lang w:val="fr-CA"/>
        </w:rPr>
        <w:t>QUE SONT LES DÉFICIENCES INTELLECTUELLES ET LES TROUBLES DU DÉVELOPPEMENT?</w:t>
      </w:r>
    </w:p>
    <w:p w14:paraId="12AE93ED" w14:textId="3274473D" w:rsidR="00CF374F" w:rsidRPr="0028796D" w:rsidRDefault="0028796D" w:rsidP="0069562C">
      <w:pPr>
        <w:pStyle w:val="Endnote-Link"/>
        <w:spacing w:before="0" w:after="0"/>
        <w:rPr>
          <w:rFonts w:ascii="Lato" w:hAnsi="Lato"/>
          <w:sz w:val="16"/>
          <w:szCs w:val="16"/>
          <w:lang w:val="fr-CA"/>
        </w:rPr>
      </w:pPr>
      <w:r w:rsidRPr="0028796D">
        <w:rPr>
          <w:rFonts w:ascii="Lato" w:hAnsi="Lato"/>
          <w:sz w:val="16"/>
          <w:szCs w:val="16"/>
          <w:lang w:val="fr-CA"/>
        </w:rPr>
        <w:t>Les déficiences intellectuelles et les troubles du développement (DID) font référence à diverses limites du fonctionnement intellectuel et des habiletés conceptuelles, sociales ou pratiques qui apparaissent chez les individus avant l'âge de 18 ans et qui durent toute leur vie. Ces limites varient en gravité et en type selon les personnes ayant une DID et peuvent varier au cours de leur vie.</w:t>
      </w:r>
      <w:r>
        <w:rPr>
          <w:rFonts w:ascii="Lato" w:hAnsi="Lato"/>
          <w:sz w:val="16"/>
          <w:szCs w:val="16"/>
          <w:lang w:val="fr-CA"/>
        </w:rPr>
        <w:t xml:space="preserve"> </w:t>
      </w:r>
      <w:r w:rsidRPr="0028796D">
        <w:rPr>
          <w:rFonts w:ascii="Lato" w:hAnsi="Lato"/>
          <w:sz w:val="16"/>
          <w:szCs w:val="16"/>
          <w:lang w:val="fr-CA"/>
        </w:rPr>
        <w:t>Les DID peuvent être associés ou non à des conditions spécifiques (p. ex., le syndrome de Down et d'autres troubles génétiques, les troubles du spectre de l'autisme, les troubles causés par l'alcoolisation fœtale et la paralysie cérébrale). Les personnes ayant une DID peuvent avoir des difficultés à apprendre à vivre de manière autonome. Elles peuvent également avoir une moins bonne santé physique et mentale que les personnes sans DID et rencontrer un plus grand nombre d'obstacles à l'accès aux soins de santé</w:t>
      </w:r>
      <w:r w:rsidR="00CF374F" w:rsidRPr="00EB6A7A">
        <w:rPr>
          <w:rFonts w:ascii="Lato" w:hAnsi="Lato"/>
          <w:sz w:val="16"/>
          <w:szCs w:val="16"/>
        </w:rPr>
        <w:t>.</w:t>
      </w:r>
    </w:p>
    <w:p w14:paraId="4E6DA697" w14:textId="2AECC622" w:rsidR="00CF374F" w:rsidRPr="0028796D" w:rsidRDefault="0028796D" w:rsidP="00EB6A7A">
      <w:pPr>
        <w:pStyle w:val="Endnote-Link"/>
        <w:spacing w:after="0"/>
        <w:rPr>
          <w:rFonts w:ascii="Lato" w:hAnsi="Lato"/>
          <w:b/>
          <w:bCs/>
          <w:caps/>
          <w:sz w:val="16"/>
          <w:szCs w:val="16"/>
        </w:rPr>
      </w:pPr>
      <w:r w:rsidRPr="0028796D">
        <w:rPr>
          <w:rFonts w:ascii="Lato" w:hAnsi="Lato"/>
          <w:b/>
          <w:bCs/>
          <w:sz w:val="16"/>
          <w:szCs w:val="16"/>
          <w:lang w:val="fr-CA"/>
        </w:rPr>
        <w:t>QU’EST-CE QU’UN EXAMEN DE SANTÉ DID</w:t>
      </w:r>
      <w:r w:rsidRPr="0028796D">
        <w:rPr>
          <w:rFonts w:ascii="Lato" w:hAnsi="Lato"/>
          <w:b/>
          <w:bCs/>
          <w:sz w:val="16"/>
          <w:szCs w:val="16"/>
        </w:rPr>
        <w:t>?</w:t>
      </w:r>
    </w:p>
    <w:p w14:paraId="5F9CD13C" w14:textId="6679B091" w:rsidR="00CF374F" w:rsidRPr="0028796D" w:rsidRDefault="0028796D" w:rsidP="0069562C">
      <w:pPr>
        <w:pStyle w:val="Endnote-Link"/>
        <w:spacing w:before="0" w:after="0"/>
        <w:rPr>
          <w:rFonts w:ascii="Lato" w:hAnsi="Lato"/>
          <w:sz w:val="16"/>
          <w:szCs w:val="16"/>
          <w:lang w:val="fr-CA"/>
        </w:rPr>
      </w:pPr>
      <w:r w:rsidRPr="0028796D">
        <w:rPr>
          <w:rFonts w:ascii="Lato" w:hAnsi="Lato"/>
          <w:sz w:val="16"/>
          <w:szCs w:val="16"/>
          <w:lang w:val="fr-CA"/>
        </w:rPr>
        <w:t>Un Examen de santé DID est un examen de santé proactif et complet, comprenant un examen physique. Il s'agit d'une stratégie, sous la forme d'étapes bien connues des praticiens de soins primaires, répondre à la complexité des problèmes de santé des adultes ayant des DID.</w:t>
      </w:r>
      <w:r>
        <w:rPr>
          <w:rFonts w:ascii="Lato" w:hAnsi="Lato"/>
          <w:sz w:val="16"/>
          <w:szCs w:val="16"/>
          <w:lang w:val="fr-CA"/>
        </w:rPr>
        <w:t xml:space="preserve"> </w:t>
      </w:r>
      <w:r w:rsidRPr="0028796D">
        <w:rPr>
          <w:rFonts w:ascii="Lato" w:hAnsi="Lato"/>
          <w:sz w:val="16"/>
          <w:szCs w:val="16"/>
          <w:lang w:val="fr-CA"/>
        </w:rPr>
        <w:t>Des essais contrôlés randomisé ont démontré que les Examens de santé permettent d'identifier des problèmes de santé non diagnostiqués, d'augmenter les mesures de prévention et d'augmenter la satisfaction des patients et de leurs médecins de famille</w:t>
      </w:r>
      <w:r w:rsidR="00CF374F" w:rsidRPr="00EB6A7A">
        <w:rPr>
          <w:rFonts w:ascii="Lato" w:hAnsi="Lato"/>
          <w:sz w:val="16"/>
          <w:szCs w:val="16"/>
        </w:rPr>
        <w:t>.</w:t>
      </w:r>
    </w:p>
    <w:p w14:paraId="1E13D798" w14:textId="0AF5FDC5" w:rsidR="00CF374F" w:rsidRPr="0028796D" w:rsidRDefault="0028796D" w:rsidP="0028796D">
      <w:pPr>
        <w:pStyle w:val="Endnote-Link"/>
        <w:spacing w:after="0"/>
        <w:rPr>
          <w:rFonts w:ascii="Lato" w:hAnsi="Lato"/>
          <w:b/>
          <w:bCs/>
          <w:sz w:val="16"/>
          <w:szCs w:val="16"/>
        </w:rPr>
      </w:pPr>
      <w:r w:rsidRPr="0028796D">
        <w:rPr>
          <w:rFonts w:ascii="Lato" w:hAnsi="Lato"/>
          <w:b/>
          <w:bCs/>
          <w:sz w:val="16"/>
          <w:szCs w:val="16"/>
        </w:rPr>
        <w:t>QUAND UTILISER LES EXAMENS DE SANTÉ</w:t>
      </w:r>
    </w:p>
    <w:p w14:paraId="5DBB16CD" w14:textId="77777777" w:rsidR="0028796D" w:rsidRPr="0028796D" w:rsidRDefault="0028796D" w:rsidP="0069562C">
      <w:pPr>
        <w:pStyle w:val="Endnote-Link"/>
        <w:spacing w:before="0" w:after="0"/>
        <w:rPr>
          <w:rFonts w:ascii="Lato" w:hAnsi="Lato"/>
          <w:sz w:val="16"/>
          <w:szCs w:val="16"/>
          <w:lang w:val="fr-CA"/>
        </w:rPr>
      </w:pPr>
      <w:r w:rsidRPr="0028796D">
        <w:rPr>
          <w:rFonts w:ascii="Lato" w:hAnsi="Lato"/>
          <w:sz w:val="16"/>
          <w:szCs w:val="16"/>
          <w:lang w:val="fr-CA"/>
        </w:rPr>
        <w:t>Un Examen de santé n'est pas prévu pour une brève visite au bureau du médecin lorsqu'un patient se présente pour la première fois avec un symptôme. Dans cette situation, il faut penser aux problèmes de santé courants chez les personnes ayant une DID et à la façon dont les maladies courantes et rares peuvent se présenter de façon atypique chez les patients qui communiquent différemment.</w:t>
      </w:r>
    </w:p>
    <w:p w14:paraId="6D66A6B6" w14:textId="77777777" w:rsidR="0028796D" w:rsidRPr="0028796D" w:rsidRDefault="0028796D" w:rsidP="0069562C">
      <w:pPr>
        <w:pStyle w:val="Endnote-Link"/>
        <w:spacing w:after="0"/>
        <w:rPr>
          <w:rFonts w:ascii="Lato" w:hAnsi="Lato"/>
          <w:sz w:val="16"/>
          <w:szCs w:val="16"/>
          <w:lang w:val="fr-CA"/>
        </w:rPr>
      </w:pPr>
      <w:r w:rsidRPr="0028796D">
        <w:rPr>
          <w:rFonts w:ascii="Lato" w:hAnsi="Lato"/>
          <w:sz w:val="16"/>
          <w:szCs w:val="16"/>
          <w:lang w:val="fr-CA"/>
        </w:rPr>
        <w:t>On compte parmi les problèmes de santé courants les effets secondaires de médicaments, les problèmes de dents, la constipation, le reflux gastro-œsophagien, l'aspiration, les crises d'épilepsie, les problèmes de sommeil, la douleur (comment savoir si ce patient souffre ?), les comorbidités associées au syndrome du patient, si elles sont connues; un changement dans les relations sociales ou l'environnement physique et des antécédents d'expériences de vie négatives ou de troubles psychiatriques.</w:t>
      </w:r>
    </w:p>
    <w:p w14:paraId="56F3AE3C" w14:textId="1B43123B" w:rsidR="00CF374F" w:rsidRPr="00EB6A7A" w:rsidRDefault="0028796D" w:rsidP="0069562C">
      <w:pPr>
        <w:pStyle w:val="Endnote-Link"/>
        <w:spacing w:after="0"/>
        <w:rPr>
          <w:rFonts w:ascii="Lato" w:hAnsi="Lato"/>
          <w:sz w:val="16"/>
          <w:szCs w:val="16"/>
        </w:rPr>
      </w:pPr>
      <w:r w:rsidRPr="0028796D">
        <w:rPr>
          <w:rFonts w:ascii="Lato" w:hAnsi="Lato"/>
          <w:sz w:val="16"/>
          <w:szCs w:val="16"/>
          <w:lang w:val="fr-CA"/>
        </w:rPr>
        <w:t>Il peut être utile de prévoir un Examen de santé dans le cadre de la résolution d'un problème de santé non urgent qui reste inexpliqué</w:t>
      </w:r>
      <w:r w:rsidR="00CF374F" w:rsidRPr="00EB6A7A">
        <w:rPr>
          <w:rFonts w:ascii="Lato" w:hAnsi="Lato"/>
          <w:sz w:val="16"/>
          <w:szCs w:val="16"/>
        </w:rPr>
        <w:t>.</w:t>
      </w:r>
      <w:r w:rsidRPr="0028796D">
        <w:rPr>
          <w:szCs w:val="22"/>
          <w:lang w:val="fr-CA"/>
        </w:rPr>
        <w:t xml:space="preserve"> </w:t>
      </w:r>
      <w:r w:rsidRPr="0028796D">
        <w:rPr>
          <w:rFonts w:ascii="Lato" w:hAnsi="Lato"/>
          <w:sz w:val="16"/>
          <w:szCs w:val="16"/>
          <w:lang w:val="fr-CA"/>
        </w:rPr>
        <w:t>Il n'est pas</w:t>
      </w:r>
      <w:r>
        <w:rPr>
          <w:rFonts w:ascii="Lato" w:hAnsi="Lato"/>
          <w:sz w:val="16"/>
          <w:szCs w:val="16"/>
          <w:lang w:val="fr-CA"/>
        </w:rPr>
        <w:t xml:space="preserve"> </w:t>
      </w:r>
      <w:r w:rsidRPr="0028796D">
        <w:rPr>
          <w:rFonts w:ascii="Lato" w:hAnsi="Lato"/>
          <w:sz w:val="16"/>
          <w:szCs w:val="16"/>
          <w:lang w:val="fr-CA"/>
        </w:rPr>
        <w:t>dans les habitudes des médecins de famille d'entreprendre tous les services de santé multiples ou d'organiser tous les services sociaux suggérés dans cet outil. Mais il peut être utile de connaître les options à discuter avec patients et aidants et, en fonction des ressources de la communauté, de les orienter vers les services appropriés</w:t>
      </w:r>
      <w:r>
        <w:rPr>
          <w:rFonts w:ascii="Lato" w:hAnsi="Lato"/>
          <w:sz w:val="16"/>
          <w:szCs w:val="16"/>
          <w:lang w:val="fr-CA"/>
        </w:rPr>
        <w:t>.</w:t>
      </w:r>
    </w:p>
    <w:p w14:paraId="5D7004F1" w14:textId="12D22870" w:rsidR="00CF374F" w:rsidRPr="0028796D" w:rsidRDefault="0028796D" w:rsidP="0028796D">
      <w:pPr>
        <w:pStyle w:val="Endnote-Link"/>
        <w:spacing w:after="0"/>
        <w:rPr>
          <w:rFonts w:ascii="Lato" w:hAnsi="Lato"/>
          <w:b/>
          <w:bCs/>
          <w:sz w:val="16"/>
          <w:szCs w:val="16"/>
        </w:rPr>
      </w:pPr>
      <w:r w:rsidRPr="0028796D">
        <w:rPr>
          <w:rFonts w:ascii="Lato" w:hAnsi="Lato"/>
          <w:b/>
          <w:bCs/>
          <w:sz w:val="16"/>
          <w:szCs w:val="16"/>
        </w:rPr>
        <w:t>COMMENT UTILISER LES EXAMENS DE SANTÉ</w:t>
      </w:r>
    </w:p>
    <w:p w14:paraId="76544872" w14:textId="77777777" w:rsidR="0028796D" w:rsidRPr="0028796D" w:rsidRDefault="0028796D" w:rsidP="0069562C">
      <w:pPr>
        <w:pStyle w:val="Endnote-Link"/>
        <w:spacing w:before="0" w:after="0"/>
        <w:rPr>
          <w:rFonts w:ascii="Lato" w:hAnsi="Lato"/>
          <w:sz w:val="16"/>
          <w:szCs w:val="16"/>
          <w:lang w:val="fr-CA"/>
        </w:rPr>
      </w:pPr>
      <w:r w:rsidRPr="0028796D">
        <w:rPr>
          <w:rFonts w:ascii="Lato" w:hAnsi="Lato"/>
          <w:sz w:val="16"/>
          <w:szCs w:val="16"/>
          <w:lang w:val="fr-CA"/>
        </w:rPr>
        <w:t xml:space="preserve">Un Examen de santé peut nécessiter plus d'une visite à cause du temps nécessaire pour communiquer efficacement, pour surmonter les obstacles aux soins de santé et pour coordonner les services de soins de santé et les services sociaux. Pour certains patients, un Examen de santé pourrait ressembler à un examen médical annuel et se dérouler en deux visites. Pour d'autres, l’Examen de santé pourrait être le point de départ d'un programme annuel de soins proactifs, avec des visites régulières tous les deux ou trois mois. </w:t>
      </w:r>
    </w:p>
    <w:p w14:paraId="1A6C3AD9" w14:textId="77777777" w:rsidR="0028796D" w:rsidRPr="0028796D" w:rsidRDefault="0028796D" w:rsidP="0069562C">
      <w:pPr>
        <w:pStyle w:val="Endnote-Link"/>
        <w:spacing w:after="0"/>
        <w:rPr>
          <w:rFonts w:ascii="Lato" w:hAnsi="Lato"/>
          <w:sz w:val="16"/>
          <w:szCs w:val="16"/>
          <w:lang w:val="fr-CA"/>
        </w:rPr>
      </w:pPr>
      <w:r w:rsidRPr="0028796D">
        <w:rPr>
          <w:rFonts w:ascii="Lato" w:hAnsi="Lato"/>
          <w:sz w:val="16"/>
          <w:szCs w:val="16"/>
          <w:lang w:val="fr-CA"/>
        </w:rPr>
        <w:t>Certaines parties de l’Examen de santé pourraient être prises en charge par d'autres intervenants, s'ils sont disponibles dans votre établissement.</w:t>
      </w:r>
    </w:p>
    <w:p w14:paraId="7ED74B09" w14:textId="5CE6B15B" w:rsidR="0028796D" w:rsidRPr="0028796D" w:rsidRDefault="0028796D" w:rsidP="0069562C">
      <w:pPr>
        <w:pStyle w:val="Endnote-Link"/>
        <w:spacing w:after="0"/>
        <w:rPr>
          <w:rFonts w:ascii="Lato" w:hAnsi="Lato"/>
          <w:sz w:val="16"/>
          <w:szCs w:val="16"/>
          <w:lang w:val="fr-CA"/>
        </w:rPr>
      </w:pPr>
      <w:r w:rsidRPr="0028796D">
        <w:rPr>
          <w:rFonts w:ascii="Lato" w:hAnsi="Lato"/>
          <w:sz w:val="16"/>
          <w:szCs w:val="16"/>
          <w:lang w:val="fr-CA"/>
        </w:rPr>
        <w:t>Par exemple, le personnel de bureau pourrait s'occuper de l'étape 1, la première rencontre et l'explication ; les patients/aidants pourraient préparer les informations de base pour les étapes 2, 3 et 4, à l'aide de questionnaires (par ex., "À propos de ma santé", "Mon rendez-vous médical") ; Ces questionnaires pourraient également servir à impliquer le patient et l'aidant dans le processus. Les versions OCEAN de</w:t>
      </w:r>
      <w:r>
        <w:rPr>
          <w:lang w:val="fr-CA"/>
        </w:rPr>
        <w:t xml:space="preserve"> </w:t>
      </w:r>
      <w:proofErr w:type="spellStart"/>
      <w:r w:rsidRPr="0028796D">
        <w:rPr>
          <w:rFonts w:ascii="Lato" w:hAnsi="Lato"/>
          <w:sz w:val="16"/>
          <w:szCs w:val="16"/>
          <w:lang w:val="fr-CA"/>
        </w:rPr>
        <w:t>CognisantMD</w:t>
      </w:r>
      <w:proofErr w:type="spellEnd"/>
      <w:r w:rsidRPr="0028796D">
        <w:rPr>
          <w:rFonts w:ascii="Lato" w:hAnsi="Lato"/>
          <w:sz w:val="16"/>
          <w:szCs w:val="16"/>
          <w:lang w:val="fr-CA"/>
        </w:rPr>
        <w:t xml:space="preserve"> peuvent intégrer ces formulaires dans plusieurs </w:t>
      </w:r>
      <w:proofErr w:type="spellStart"/>
      <w:r w:rsidRPr="0028796D">
        <w:rPr>
          <w:rFonts w:ascii="Lato" w:hAnsi="Lato"/>
          <w:sz w:val="16"/>
          <w:szCs w:val="16"/>
          <w:lang w:val="fr-CA"/>
        </w:rPr>
        <w:t>DMEs</w:t>
      </w:r>
      <w:proofErr w:type="spellEnd"/>
      <w:r w:rsidRPr="0028796D">
        <w:rPr>
          <w:rFonts w:ascii="Lato" w:hAnsi="Lato"/>
          <w:sz w:val="16"/>
          <w:szCs w:val="16"/>
          <w:lang w:val="fr-CA"/>
        </w:rPr>
        <w:t>. Une infirmière praticienne pourrait entrer les données dans le PCP (Profil cumulatif du patient) et dans la section Revue des systèmes (ROS) du dossier médical. Certains patients atteints de DID peuvent bénéficier de rendez-vous par téléphone ou par vidéo. Ceux-ci peuvent être appropriés pour les patients qui sont très anxieux lorsqu'ils se rendent à un rendez-vous ou attendent dans la salle d'attente, qui sont aidés par des aidants qui ne vivent pas à proximité, ou qui ont des rendez-vous de routine fréquents. Certains patients sont plus difficiles à faire participer par téléphone et, dans ce cas, la vidéo peut être une meilleure option pour favoriser l'engagement et la communication. Si les visites à domicile ne sont pas possibles, la vidéo peut être un outil essentiel pour atteindre les patients qui sont confinés chez eux et permettre aux prestataires de voir les patients dans leur environnement domestique.</w:t>
      </w:r>
    </w:p>
    <w:p w14:paraId="3F850C15" w14:textId="77777777" w:rsidR="0069562C" w:rsidRDefault="0028796D" w:rsidP="0069562C">
      <w:pPr>
        <w:pStyle w:val="Endnote-Link"/>
        <w:spacing w:after="0"/>
        <w:rPr>
          <w:rFonts w:ascii="Lato" w:hAnsi="Lato"/>
          <w:sz w:val="16"/>
          <w:szCs w:val="16"/>
          <w:lang w:val="fr-CA"/>
        </w:rPr>
      </w:pPr>
      <w:r w:rsidRPr="0028796D">
        <w:rPr>
          <w:rFonts w:ascii="Lato" w:hAnsi="Lato"/>
          <w:sz w:val="16"/>
          <w:szCs w:val="16"/>
          <w:lang w:val="fr-CA"/>
        </w:rPr>
        <w:t>Il faut souligner que les visites par vidéo/téléphone peuvent ne pas être appropriées pour les nouveaux patients si le problème de santé est nouveau ou complexe, si le patient/l'aidant n'a pas accès à la technologie nécessaire, si le patient ne possède pas d'espace privé pour participer, ou si le patient est incapable d'être inclus dans l'interaction virtuelle. Pour les patients ayant des DID qui ont du mal à décrire leurs symptômes, un examen physique peut jouer un rôle plus important dans leur prise en charge.</w:t>
      </w:r>
      <w:r>
        <w:rPr>
          <w:rFonts w:ascii="Lato" w:hAnsi="Lato"/>
          <w:sz w:val="16"/>
          <w:szCs w:val="16"/>
          <w:lang w:val="fr-CA"/>
        </w:rPr>
        <w:t xml:space="preserve"> </w:t>
      </w:r>
    </w:p>
    <w:p w14:paraId="00192514" w14:textId="0BE73265" w:rsidR="0028796D" w:rsidRPr="0028796D" w:rsidRDefault="0028796D" w:rsidP="0069562C">
      <w:pPr>
        <w:pStyle w:val="Endnote-Link"/>
        <w:spacing w:after="0"/>
        <w:rPr>
          <w:rFonts w:ascii="Lato" w:hAnsi="Lato"/>
          <w:sz w:val="16"/>
          <w:szCs w:val="16"/>
          <w:lang w:val="fr-CA"/>
        </w:rPr>
      </w:pPr>
      <w:r w:rsidRPr="0028796D">
        <w:rPr>
          <w:rFonts w:ascii="Lato" w:hAnsi="Lato"/>
          <w:sz w:val="16"/>
          <w:szCs w:val="16"/>
          <w:lang w:val="fr-CA"/>
        </w:rPr>
        <w:t>Les visites par téléphone ou par vidéo peuvent également être utilisées comme l’un des éléments d'un examen de santé afin d'accroître l'efficacité et de rendre le rendez-vous plus facile à gérer pour le patient. Par exemple, les antécédents du patient peuvent être recueillis lors d'un premier appel téléphonique avec l'aidant, puis un rendez-vous en personne plus court peut avoir lieu avec le patient.</w:t>
      </w:r>
    </w:p>
    <w:p w14:paraId="5FB01248" w14:textId="77777777" w:rsidR="0028796D" w:rsidRPr="0028796D" w:rsidRDefault="0028796D" w:rsidP="0069562C">
      <w:pPr>
        <w:pStyle w:val="Endnote-Link"/>
        <w:spacing w:after="0"/>
        <w:rPr>
          <w:rFonts w:ascii="Lato" w:hAnsi="Lato"/>
          <w:sz w:val="16"/>
          <w:szCs w:val="16"/>
          <w:lang w:val="fr-CA"/>
        </w:rPr>
      </w:pPr>
      <w:r w:rsidRPr="0028796D">
        <w:rPr>
          <w:rFonts w:ascii="Lato" w:hAnsi="Lato"/>
          <w:sz w:val="16"/>
          <w:szCs w:val="16"/>
          <w:lang w:val="fr-CA"/>
        </w:rPr>
        <w:t>Envisagez la tâche d'identifier les adultes ayant une DID en tant que groupe afin de permettre l'application à grande échelle des Examens de santé ou d'autres interventions systématiques pour les adultes ayant une DID.</w:t>
      </w:r>
    </w:p>
    <w:p w14:paraId="0B20BB40" w14:textId="6E2D4EBA" w:rsidR="00CF374F" w:rsidRPr="00EB6A7A" w:rsidRDefault="0028796D" w:rsidP="0069562C">
      <w:pPr>
        <w:pStyle w:val="Endnote-Link"/>
        <w:spacing w:after="0"/>
        <w:rPr>
          <w:rFonts w:ascii="Lato" w:hAnsi="Lato"/>
          <w:sz w:val="16"/>
          <w:szCs w:val="16"/>
        </w:rPr>
      </w:pPr>
      <w:r w:rsidRPr="0028796D">
        <w:rPr>
          <w:rFonts w:ascii="Lato" w:hAnsi="Lato"/>
          <w:sz w:val="16"/>
          <w:szCs w:val="16"/>
          <w:lang w:val="fr-CA"/>
        </w:rPr>
        <w:t>L'identification pourrait commencer par l'établissement d'une liste d'adultes ayant des DID basée sur vos connaissances et celles de votre personnel concernant les patients de la pratique. Une autre méthode serait d'effectuer une recherche dans votre DME, en utilisant des termes de recherche dans l'outil, Stratégies de recherche par mots clés dans le DME. En cas de doute quant à savoir si un patient a une DID, utiliser un outil de recherche de cas ("dépistage") pour prendre les premières mesures en vue d'une identification</w:t>
      </w:r>
      <w:r w:rsidR="0069562C">
        <w:rPr>
          <w:rFonts w:ascii="Lato" w:hAnsi="Lato"/>
          <w:sz w:val="16"/>
          <w:szCs w:val="16"/>
          <w:lang w:val="fr-CA"/>
        </w:rPr>
        <w:t>.</w:t>
      </w:r>
    </w:p>
    <w:p w14:paraId="3FC08279" w14:textId="138713DD" w:rsidR="0069562C" w:rsidRPr="0069562C" w:rsidRDefault="0069562C" w:rsidP="0069562C">
      <w:pPr>
        <w:pStyle w:val="Endnote-Link"/>
        <w:spacing w:after="0"/>
        <w:rPr>
          <w:rFonts w:ascii="Lato" w:hAnsi="Lato"/>
          <w:b/>
          <w:bCs/>
          <w:sz w:val="16"/>
          <w:szCs w:val="16"/>
          <w:lang w:val="fr-CA"/>
        </w:rPr>
      </w:pPr>
      <w:r w:rsidRPr="0069562C">
        <w:rPr>
          <w:rFonts w:ascii="Lato" w:hAnsi="Lato"/>
          <w:b/>
          <w:bCs/>
          <w:sz w:val="16"/>
          <w:szCs w:val="16"/>
          <w:lang w:val="fr-CA"/>
        </w:rPr>
        <w:t>ÉLABORATION DE CE FORMULAIRE</w:t>
      </w:r>
    </w:p>
    <w:p w14:paraId="3EBA4D56" w14:textId="41176050" w:rsidR="0069562C" w:rsidRPr="0069562C" w:rsidRDefault="0069562C" w:rsidP="0069562C">
      <w:pPr>
        <w:pStyle w:val="Endnote-Link"/>
        <w:spacing w:before="0" w:after="0"/>
        <w:rPr>
          <w:rFonts w:ascii="Lato" w:hAnsi="Lato"/>
          <w:sz w:val="16"/>
          <w:szCs w:val="16"/>
          <w:lang w:val="fr-CA"/>
        </w:rPr>
      </w:pPr>
      <w:r w:rsidRPr="0069562C">
        <w:rPr>
          <w:rFonts w:ascii="Lato" w:hAnsi="Lato"/>
          <w:sz w:val="16"/>
          <w:szCs w:val="16"/>
          <w:lang w:val="fr-CA"/>
        </w:rPr>
        <w:t>Ce formulaire médical aide les prestataires de soins primaires à mettre en pratique l'évaluation complète de la santé ou " l’Examen de santé " pour adultes ayant des déficiences intellectuelles et développementales (DID) recommandée par les lignes directrices, " Soins primaires aux adultes ayant des déficiences intellectuelles et</w:t>
      </w:r>
      <w:r>
        <w:rPr>
          <w:rFonts w:ascii="Lato" w:hAnsi="Lato"/>
          <w:sz w:val="16"/>
          <w:szCs w:val="16"/>
          <w:lang w:val="fr-CA"/>
        </w:rPr>
        <w:t xml:space="preserve"> </w:t>
      </w:r>
      <w:r w:rsidRPr="0069562C">
        <w:rPr>
          <w:rFonts w:ascii="Lato" w:hAnsi="Lato"/>
          <w:sz w:val="16"/>
          <w:szCs w:val="16"/>
          <w:lang w:val="fr-CA"/>
        </w:rPr>
        <w:t>développementales : Lignes directrices du consensus canadien de 2018 " (Le Médecin de famille canadien, volume 64(4), 2018, pp.254-279).</w:t>
      </w:r>
    </w:p>
    <w:p w14:paraId="3617D7F6" w14:textId="38D6BBFF" w:rsidR="0069562C" w:rsidRDefault="0069562C" w:rsidP="0069562C">
      <w:pPr>
        <w:pStyle w:val="Endnote-Link"/>
        <w:rPr>
          <w:rFonts w:ascii="Lato" w:hAnsi="Lato"/>
          <w:sz w:val="16"/>
          <w:szCs w:val="16"/>
          <w:lang w:val="fr-CA"/>
        </w:rPr>
      </w:pPr>
      <w:r w:rsidRPr="0069562C">
        <w:rPr>
          <w:rFonts w:ascii="Lato" w:hAnsi="Lato"/>
          <w:sz w:val="16"/>
          <w:szCs w:val="16"/>
          <w:lang w:val="fr-CA"/>
        </w:rPr>
        <w:t xml:space="preserve">Les notes accompagnant les éléments du formulaire (numéros en super-scripts) sont tirées des </w:t>
      </w:r>
      <w:r w:rsidRPr="0069562C">
        <w:rPr>
          <w:rFonts w:ascii="Lato" w:hAnsi="Lato"/>
          <w:i/>
          <w:iCs/>
          <w:sz w:val="16"/>
          <w:szCs w:val="16"/>
          <w:lang w:val="fr-CA"/>
        </w:rPr>
        <w:t>lignes directrices</w:t>
      </w:r>
      <w:r w:rsidRPr="0069562C">
        <w:rPr>
          <w:rFonts w:ascii="Lato" w:hAnsi="Lato"/>
          <w:sz w:val="16"/>
          <w:szCs w:val="16"/>
          <w:lang w:val="fr-CA"/>
        </w:rPr>
        <w:t xml:space="preserve"> et les complètent, et reposent sur l'expérience de médecins de famille et d'infirmières spécialisés dans la prise en charge d'adultes ayant des DID. Les notes contiennent des liens vers des Outils de pratique développés par le Programme de soins primaires aux adultes ayant une déficience intellectuelle de Surrey Place, ainsi que vers d'autres outils et ressources sélectionnés. Pour plus d'informations sur les Lignes directrices et les Outils pour les soins primaires aux adultes ayant des déficiences intellectuelles et développementales, visitez le site Web www.ddprimarycare.surreyplace.ca</w:t>
      </w:r>
      <w:r>
        <w:rPr>
          <w:rFonts w:ascii="Lato" w:hAnsi="Lato"/>
          <w:sz w:val="16"/>
          <w:szCs w:val="16"/>
          <w:lang w:val="fr-CA"/>
        </w:rPr>
        <w:t>.</w:t>
      </w:r>
    </w:p>
    <w:p w14:paraId="0646DC34" w14:textId="77777777" w:rsidR="00CF374F" w:rsidRDefault="00CF374F" w:rsidP="00EB6A7A">
      <w:pPr>
        <w:pStyle w:val="Endnote-H4"/>
        <w:spacing w:after="0"/>
        <w:ind w:left="0" w:firstLine="0"/>
        <w:rPr>
          <w:lang w:val="fr-CA"/>
        </w:rPr>
      </w:pPr>
      <w:r>
        <w:rPr>
          <w:rStyle w:val="EndnoteReference"/>
        </w:rPr>
        <w:t>2</w:t>
      </w:r>
      <w:r>
        <w:t xml:space="preserve"> </w:t>
      </w:r>
      <w:r w:rsidRPr="00BB4AD9">
        <w:rPr>
          <w:lang w:val="fr-CA"/>
        </w:rPr>
        <w:t>Contribution des patients et des aidants aux Examens de santé</w:t>
      </w:r>
    </w:p>
    <w:p w14:paraId="677A6B87" w14:textId="77777777" w:rsidR="00CF374F" w:rsidRPr="00EB6A7A" w:rsidRDefault="00CF374F" w:rsidP="0069562C">
      <w:pPr>
        <w:pStyle w:val="Endnote-Bullet-L1"/>
        <w:spacing w:after="0"/>
        <w:rPr>
          <w:rFonts w:ascii="Lato" w:hAnsi="Lato"/>
          <w:sz w:val="16"/>
          <w:szCs w:val="16"/>
          <w:lang w:val="fr-CA"/>
        </w:rPr>
      </w:pPr>
      <w:bookmarkStart w:id="5" w:name="_Hlk126596785"/>
      <w:r w:rsidRPr="00EB6A7A">
        <w:rPr>
          <w:rFonts w:ascii="Lato" w:hAnsi="Lato"/>
          <w:sz w:val="16"/>
          <w:szCs w:val="16"/>
          <w:lang w:val="fr-CA"/>
        </w:rPr>
        <w:t>Utiliser les questionnaires destinés au patient : "</w:t>
      </w:r>
      <w:hyperlink r:id="rId1" w:history="1">
        <w:r w:rsidRPr="00EB6A7A">
          <w:rPr>
            <w:rStyle w:val="Hyperlink"/>
            <w:rFonts w:ascii="Lato" w:hAnsi="Lato"/>
            <w:sz w:val="16"/>
            <w:szCs w:val="16"/>
            <w:lang w:val="fr-CA"/>
          </w:rPr>
          <w:t>À propos de ma santé</w:t>
        </w:r>
      </w:hyperlink>
      <w:r w:rsidRPr="00EB6A7A">
        <w:rPr>
          <w:rFonts w:ascii="Lato" w:hAnsi="Lato"/>
          <w:sz w:val="16"/>
          <w:szCs w:val="16"/>
          <w:lang w:val="fr-CA"/>
        </w:rPr>
        <w:t>" et "</w:t>
      </w:r>
      <w:hyperlink r:id="rId2" w:history="1">
        <w:r w:rsidRPr="00EB6A7A">
          <w:rPr>
            <w:rStyle w:val="Hyperlink"/>
            <w:rFonts w:ascii="Lato" w:hAnsi="Lato"/>
            <w:sz w:val="16"/>
            <w:szCs w:val="16"/>
            <w:lang w:val="fr-CA"/>
          </w:rPr>
          <w:t>Mon rendez-vous médical</w:t>
        </w:r>
      </w:hyperlink>
      <w:r w:rsidRPr="00EB6A7A">
        <w:rPr>
          <w:rFonts w:ascii="Lato" w:hAnsi="Lato"/>
          <w:sz w:val="16"/>
          <w:szCs w:val="16"/>
          <w:lang w:val="fr-CA"/>
        </w:rPr>
        <w:t>".</w:t>
      </w:r>
    </w:p>
    <w:bookmarkEnd w:id="5"/>
    <w:p w14:paraId="5E7BF7D0" w14:textId="77777777" w:rsidR="00CF374F" w:rsidRPr="00EB6A7A" w:rsidRDefault="00CF374F" w:rsidP="0069562C">
      <w:pPr>
        <w:pStyle w:val="Endnote-Context"/>
        <w:rPr>
          <w:rFonts w:ascii="Lato" w:hAnsi="Lato"/>
          <w:sz w:val="16"/>
          <w:szCs w:val="16"/>
        </w:rPr>
      </w:pPr>
      <w:proofErr w:type="spellStart"/>
      <w:r w:rsidRPr="00EB6A7A">
        <w:rPr>
          <w:rFonts w:ascii="Lato" w:hAnsi="Lato"/>
          <w:sz w:val="16"/>
          <w:szCs w:val="16"/>
        </w:rPr>
        <w:t>Promouvoir</w:t>
      </w:r>
      <w:proofErr w:type="spellEnd"/>
      <w:r w:rsidRPr="00EB6A7A">
        <w:rPr>
          <w:rFonts w:ascii="Lato" w:hAnsi="Lato"/>
          <w:sz w:val="16"/>
          <w:szCs w:val="16"/>
        </w:rPr>
        <w:t xml:space="preserve"> la participation des patients </w:t>
      </w:r>
      <w:proofErr w:type="spellStart"/>
      <w:r w:rsidRPr="00EB6A7A">
        <w:rPr>
          <w:rFonts w:ascii="Lato" w:hAnsi="Lato"/>
          <w:sz w:val="16"/>
          <w:szCs w:val="16"/>
        </w:rPr>
        <w:t>permet</w:t>
      </w:r>
      <w:proofErr w:type="spellEnd"/>
      <w:r w:rsidRPr="00EB6A7A">
        <w:rPr>
          <w:rFonts w:ascii="Lato" w:hAnsi="Lato"/>
          <w:sz w:val="16"/>
          <w:szCs w:val="16"/>
        </w:rPr>
        <w:t xml:space="preserve"> aux patients, aux </w:t>
      </w:r>
      <w:proofErr w:type="spellStart"/>
      <w:r w:rsidRPr="00EB6A7A">
        <w:rPr>
          <w:rFonts w:ascii="Lato" w:hAnsi="Lato"/>
          <w:sz w:val="16"/>
          <w:szCs w:val="16"/>
        </w:rPr>
        <w:t>familles</w:t>
      </w:r>
      <w:proofErr w:type="spellEnd"/>
      <w:r w:rsidRPr="00EB6A7A">
        <w:rPr>
          <w:rFonts w:ascii="Lato" w:hAnsi="Lato"/>
          <w:sz w:val="16"/>
          <w:szCs w:val="16"/>
        </w:rPr>
        <w:t xml:space="preserve"> et aux aidants de </w:t>
      </w:r>
      <w:proofErr w:type="spellStart"/>
      <w:r w:rsidRPr="00EB6A7A">
        <w:rPr>
          <w:rFonts w:ascii="Lato" w:hAnsi="Lato"/>
          <w:sz w:val="16"/>
          <w:szCs w:val="16"/>
        </w:rPr>
        <w:t>mieux</w:t>
      </w:r>
      <w:proofErr w:type="spellEnd"/>
      <w:r w:rsidRPr="00EB6A7A">
        <w:rPr>
          <w:rFonts w:ascii="Lato" w:hAnsi="Lato"/>
          <w:sz w:val="16"/>
          <w:szCs w:val="16"/>
        </w:rPr>
        <w:t xml:space="preserve"> </w:t>
      </w:r>
      <w:proofErr w:type="spellStart"/>
      <w:r w:rsidRPr="00EB6A7A">
        <w:rPr>
          <w:rFonts w:ascii="Lato" w:hAnsi="Lato"/>
          <w:sz w:val="16"/>
          <w:szCs w:val="16"/>
        </w:rPr>
        <w:t>communiquer</w:t>
      </w:r>
      <w:proofErr w:type="spellEnd"/>
      <w:r w:rsidRPr="00EB6A7A">
        <w:rPr>
          <w:rFonts w:ascii="Lato" w:hAnsi="Lato"/>
          <w:sz w:val="16"/>
          <w:szCs w:val="16"/>
        </w:rPr>
        <w:t xml:space="preserve">. </w:t>
      </w:r>
      <w:proofErr w:type="spellStart"/>
      <w:r w:rsidRPr="00EB6A7A">
        <w:rPr>
          <w:rFonts w:ascii="Lato" w:hAnsi="Lato"/>
          <w:sz w:val="16"/>
          <w:szCs w:val="16"/>
        </w:rPr>
        <w:t>C'est</w:t>
      </w:r>
      <w:proofErr w:type="spellEnd"/>
      <w:r w:rsidRPr="00EB6A7A">
        <w:rPr>
          <w:rFonts w:ascii="Lato" w:hAnsi="Lato"/>
          <w:sz w:val="16"/>
          <w:szCs w:val="16"/>
        </w:rPr>
        <w:t xml:space="preserve"> un </w:t>
      </w:r>
      <w:proofErr w:type="spellStart"/>
      <w:r w:rsidRPr="00EB6A7A">
        <w:rPr>
          <w:rFonts w:ascii="Lato" w:hAnsi="Lato"/>
          <w:sz w:val="16"/>
          <w:szCs w:val="16"/>
        </w:rPr>
        <w:t>moyen</w:t>
      </w:r>
      <w:proofErr w:type="spellEnd"/>
      <w:r w:rsidRPr="00EB6A7A">
        <w:rPr>
          <w:rFonts w:ascii="Lato" w:hAnsi="Lato"/>
          <w:sz w:val="16"/>
          <w:szCs w:val="16"/>
        </w:rPr>
        <w:t xml:space="preserve"> </w:t>
      </w:r>
      <w:proofErr w:type="spellStart"/>
      <w:r w:rsidRPr="00EB6A7A">
        <w:rPr>
          <w:rFonts w:ascii="Lato" w:hAnsi="Lato"/>
          <w:sz w:val="16"/>
          <w:szCs w:val="16"/>
        </w:rPr>
        <w:t>efficace</w:t>
      </w:r>
      <w:proofErr w:type="spellEnd"/>
      <w:r w:rsidRPr="00EB6A7A">
        <w:rPr>
          <w:rFonts w:ascii="Lato" w:hAnsi="Lato"/>
          <w:sz w:val="16"/>
          <w:szCs w:val="16"/>
        </w:rPr>
        <w:t xml:space="preserve"> de </w:t>
      </w:r>
      <w:proofErr w:type="spellStart"/>
      <w:r w:rsidRPr="00EB6A7A">
        <w:rPr>
          <w:rFonts w:ascii="Lato" w:hAnsi="Lato"/>
          <w:sz w:val="16"/>
          <w:szCs w:val="16"/>
        </w:rPr>
        <w:t>recueillir</w:t>
      </w:r>
      <w:proofErr w:type="spellEnd"/>
      <w:r w:rsidRPr="00EB6A7A">
        <w:rPr>
          <w:rFonts w:ascii="Lato" w:hAnsi="Lato"/>
          <w:sz w:val="16"/>
          <w:szCs w:val="16"/>
        </w:rPr>
        <w:t xml:space="preserve"> des </w:t>
      </w:r>
      <w:proofErr w:type="spellStart"/>
      <w:r w:rsidRPr="00EB6A7A">
        <w:rPr>
          <w:rFonts w:ascii="Lato" w:hAnsi="Lato"/>
          <w:sz w:val="16"/>
          <w:szCs w:val="16"/>
        </w:rPr>
        <w:t>informations</w:t>
      </w:r>
      <w:proofErr w:type="spellEnd"/>
      <w:r w:rsidRPr="00EB6A7A">
        <w:rPr>
          <w:rFonts w:ascii="Lato" w:hAnsi="Lato"/>
          <w:sz w:val="16"/>
          <w:szCs w:val="16"/>
        </w:rPr>
        <w:t xml:space="preserve"> de base </w:t>
      </w:r>
      <w:proofErr w:type="gramStart"/>
      <w:r w:rsidRPr="00EB6A7A">
        <w:rPr>
          <w:rFonts w:ascii="Lato" w:hAnsi="Lato"/>
          <w:sz w:val="16"/>
          <w:szCs w:val="16"/>
        </w:rPr>
        <w:t>pour</w:t>
      </w:r>
      <w:proofErr w:type="gramEnd"/>
      <w:r w:rsidRPr="00EB6A7A">
        <w:rPr>
          <w:rFonts w:ascii="Lato" w:hAnsi="Lato"/>
          <w:sz w:val="16"/>
          <w:szCs w:val="16"/>
        </w:rPr>
        <w:t xml:space="preserve"> les rencontres </w:t>
      </w:r>
      <w:proofErr w:type="spellStart"/>
      <w:r w:rsidRPr="00EB6A7A">
        <w:rPr>
          <w:rFonts w:ascii="Lato" w:hAnsi="Lato"/>
          <w:sz w:val="16"/>
          <w:szCs w:val="16"/>
        </w:rPr>
        <w:t>médicales</w:t>
      </w:r>
      <w:proofErr w:type="spellEnd"/>
      <w:r w:rsidRPr="00EB6A7A">
        <w:rPr>
          <w:rFonts w:ascii="Lato" w:hAnsi="Lato"/>
          <w:sz w:val="16"/>
          <w:szCs w:val="16"/>
        </w:rPr>
        <w:t>.</w:t>
      </w:r>
    </w:p>
    <w:p w14:paraId="54DEDFF2" w14:textId="77777777" w:rsidR="00CF374F" w:rsidRPr="00EB6A7A" w:rsidRDefault="00CF374F" w:rsidP="0069562C">
      <w:pPr>
        <w:pStyle w:val="Endnote-Link"/>
        <w:spacing w:after="0"/>
        <w:rPr>
          <w:rFonts w:ascii="Lato" w:hAnsi="Lato"/>
          <w:b/>
          <w:bCs/>
          <w:caps/>
          <w:sz w:val="16"/>
          <w:szCs w:val="16"/>
          <w:lang w:val="en-US"/>
        </w:rPr>
      </w:pPr>
      <w:bookmarkStart w:id="6" w:name="_Hlk126596842"/>
      <w:r w:rsidRPr="00EB6A7A">
        <w:rPr>
          <w:rFonts w:ascii="Lato" w:hAnsi="Lato"/>
          <w:b/>
          <w:bCs/>
          <w:caps/>
          <w:sz w:val="16"/>
          <w:szCs w:val="16"/>
          <w:lang w:val="en-US"/>
        </w:rPr>
        <w:t xml:space="preserve">OUTILS POUR LA PRATIQUE </w:t>
      </w:r>
    </w:p>
    <w:p w14:paraId="05422AA6" w14:textId="77777777" w:rsidR="00CF374F" w:rsidRPr="00EB6A7A" w:rsidRDefault="00000000" w:rsidP="0069562C">
      <w:pPr>
        <w:pStyle w:val="Endnote-Link"/>
        <w:spacing w:after="0"/>
        <w:rPr>
          <w:rFonts w:ascii="Lato" w:hAnsi="Lato"/>
          <w:sz w:val="16"/>
          <w:szCs w:val="16"/>
        </w:rPr>
      </w:pPr>
      <w:hyperlink r:id="rId3" w:history="1">
        <w:r w:rsidR="00CF374F" w:rsidRPr="00EB6A7A">
          <w:rPr>
            <w:rStyle w:val="Hyperlink"/>
            <w:rFonts w:ascii="Lato" w:hAnsi="Lato"/>
            <w:sz w:val="16"/>
            <w:szCs w:val="16"/>
            <w:lang w:val="fr-CA"/>
          </w:rPr>
          <w:t>À propos de ma santé</w:t>
        </w:r>
      </w:hyperlink>
      <w:r w:rsidR="00CF374F" w:rsidRPr="00EB6A7A">
        <w:rPr>
          <w:rFonts w:ascii="Lato" w:hAnsi="Lato"/>
          <w:sz w:val="16"/>
          <w:szCs w:val="16"/>
          <w:lang w:val="fr-CA"/>
        </w:rPr>
        <w:t xml:space="preserve"> est un formulaire permettant aux patients d'indiquer ce qu'ils aiment et n'aiment pas, leur stratégie de communication préférée, leurs contacts, leurs antécédents médicaux et les médicaments qu'ils prennent. Ceci est particulièrement utile pour se préparer à rencontrer un nouveau prestataire de soins de santé et pour fournir des informations</w:t>
      </w:r>
      <w:r w:rsidR="00CF374F" w:rsidRPr="00EB6A7A">
        <w:rPr>
          <w:rFonts w:ascii="Lato" w:hAnsi="Lato" w:cstheme="minorHAnsi"/>
          <w:color w:val="000000"/>
          <w:sz w:val="16"/>
          <w:szCs w:val="16"/>
          <w:lang w:val="fr-CA"/>
        </w:rPr>
        <w:t xml:space="preserve"> </w:t>
      </w:r>
      <w:r w:rsidR="00CF374F" w:rsidRPr="00EB6A7A">
        <w:rPr>
          <w:rFonts w:ascii="Lato" w:hAnsi="Lato"/>
          <w:sz w:val="16"/>
          <w:szCs w:val="16"/>
          <w:lang w:val="fr-CA"/>
        </w:rPr>
        <w:t>pour le PCP spécifique aux DID (étape 2) de ‘l’Examen de santé’</w:t>
      </w:r>
      <w:r w:rsidR="00CF374F" w:rsidRPr="00EB6A7A">
        <w:rPr>
          <w:rFonts w:ascii="Lato" w:hAnsi="Lato"/>
          <w:sz w:val="16"/>
          <w:szCs w:val="16"/>
        </w:rPr>
        <w:t xml:space="preserve">. </w:t>
      </w:r>
    </w:p>
    <w:bookmarkEnd w:id="6"/>
    <w:p w14:paraId="566ACCB7" w14:textId="77777777" w:rsidR="00CF374F" w:rsidRDefault="00CF374F" w:rsidP="00CF374F">
      <w:pPr>
        <w:pStyle w:val="Endnote-Link"/>
      </w:pPr>
      <w:r w:rsidRPr="00EB6A7A">
        <w:rPr>
          <w:rFonts w:ascii="Lato" w:hAnsi="Lato"/>
          <w:sz w:val="16"/>
          <w:szCs w:val="16"/>
          <w:lang w:val="fr-CA"/>
        </w:rPr>
        <w:fldChar w:fldCharType="begin"/>
      </w:r>
      <w:r w:rsidRPr="00EB6A7A">
        <w:rPr>
          <w:rFonts w:ascii="Lato" w:hAnsi="Lato"/>
          <w:sz w:val="16"/>
          <w:szCs w:val="16"/>
          <w:lang w:val="fr-CA"/>
        </w:rPr>
        <w:instrText>HYPERLINK "https://ddprimarycare.surreyplace.ca/tools-2/general-health/todays-visit/"</w:instrText>
      </w:r>
      <w:r w:rsidRPr="00EB6A7A">
        <w:rPr>
          <w:rFonts w:ascii="Lato" w:hAnsi="Lato"/>
          <w:sz w:val="16"/>
          <w:szCs w:val="16"/>
          <w:lang w:val="fr-CA"/>
        </w:rPr>
      </w:r>
      <w:r w:rsidRPr="00EB6A7A">
        <w:rPr>
          <w:rFonts w:ascii="Lato" w:hAnsi="Lato"/>
          <w:sz w:val="16"/>
          <w:szCs w:val="16"/>
          <w:lang w:val="fr-CA"/>
        </w:rPr>
        <w:fldChar w:fldCharType="separate"/>
      </w:r>
      <w:r w:rsidRPr="00EB6A7A">
        <w:rPr>
          <w:rStyle w:val="Hyperlink"/>
          <w:rFonts w:ascii="Lato" w:hAnsi="Lato"/>
          <w:sz w:val="16"/>
          <w:szCs w:val="16"/>
          <w:lang w:val="fr-CA"/>
        </w:rPr>
        <w:t>Mon rendez-vous médical</w:t>
      </w:r>
      <w:r w:rsidRPr="00EB6A7A">
        <w:rPr>
          <w:rFonts w:ascii="Lato" w:hAnsi="Lato"/>
          <w:sz w:val="16"/>
          <w:szCs w:val="16"/>
          <w:lang w:val="fr-CA"/>
        </w:rPr>
        <w:fldChar w:fldCharType="end"/>
      </w:r>
      <w:r w:rsidRPr="00EB6A7A">
        <w:rPr>
          <w:rFonts w:ascii="Lato" w:hAnsi="Lato"/>
          <w:sz w:val="16"/>
          <w:szCs w:val="16"/>
          <w:lang w:val="fr-CA"/>
        </w:rPr>
        <w:t xml:space="preserve"> est utile avant toute visite médicale, y compris celles prévues dans le cadre de l’Examen de santé. Les patients remplissent la première partie du formulaire avant la visite et indiquent les raisons de la visite et les symptômes récents. Le prestataire et le patient remplissent les deuxième et </w:t>
      </w:r>
      <w:proofErr w:type="gramStart"/>
      <w:r w:rsidRPr="00EB6A7A">
        <w:rPr>
          <w:rFonts w:ascii="Lato" w:hAnsi="Lato"/>
          <w:sz w:val="16"/>
          <w:szCs w:val="16"/>
          <w:lang w:val="fr-CA"/>
        </w:rPr>
        <w:t>troisième parties</w:t>
      </w:r>
      <w:proofErr w:type="gramEnd"/>
      <w:r w:rsidRPr="00EB6A7A">
        <w:rPr>
          <w:rFonts w:ascii="Lato" w:hAnsi="Lato"/>
          <w:sz w:val="16"/>
          <w:szCs w:val="16"/>
          <w:lang w:val="fr-CA"/>
        </w:rPr>
        <w:t xml:space="preserve"> lors de la visite avec le prestataire de soins de santé afin de mieux comprendre le contenu et le résultat de la visite.</w:t>
      </w:r>
    </w:p>
  </w:endnote>
  <w:endnote w:id="3">
    <w:p w14:paraId="469F3FDD" w14:textId="0A017035" w:rsidR="005D10B3" w:rsidRPr="007835B4" w:rsidRDefault="005D10B3" w:rsidP="0069562C">
      <w:pPr>
        <w:pStyle w:val="Endnote-H4"/>
        <w:spacing w:after="0"/>
        <w:rPr>
          <w:lang w:val="fr-CA"/>
        </w:rPr>
      </w:pPr>
      <w:r>
        <w:rPr>
          <w:rStyle w:val="EndnoteReference"/>
        </w:rPr>
        <w:endnoteRef/>
      </w:r>
      <w:r>
        <w:t xml:space="preserve"> </w:t>
      </w:r>
      <w:r w:rsidR="007835B4" w:rsidRPr="007835B4">
        <w:rPr>
          <w:lang w:val="fr-CA"/>
        </w:rPr>
        <w:t>Communication, vie quotidienne</w:t>
      </w:r>
      <w:r w:rsidR="007835B4">
        <w:rPr>
          <w:lang w:val="fr-CA"/>
        </w:rPr>
        <w:t xml:space="preserve"> </w:t>
      </w:r>
      <w:r w:rsidR="007835B4" w:rsidRPr="007835B4">
        <w:rPr>
          <w:lang w:val="fr-CA"/>
        </w:rPr>
        <w:t>-</w:t>
      </w:r>
      <w:r w:rsidR="007835B4">
        <w:rPr>
          <w:lang w:val="fr-CA"/>
        </w:rPr>
        <w:t xml:space="preserve"> </w:t>
      </w:r>
      <w:r w:rsidR="007835B4" w:rsidRPr="007835B4">
        <w:rPr>
          <w:lang w:val="fr-CA"/>
        </w:rPr>
        <w:t>Évaluation fonctionnelle</w:t>
      </w:r>
    </w:p>
    <w:p w14:paraId="3A0E9512" w14:textId="1125C0AA" w:rsidR="003D16B1" w:rsidRPr="00EB6A7A" w:rsidRDefault="007835B4" w:rsidP="00732486">
      <w:pPr>
        <w:pStyle w:val="Endnote-Bullet-L1"/>
        <w:spacing w:after="0"/>
        <w:rPr>
          <w:rFonts w:ascii="Lato" w:hAnsi="Lato"/>
          <w:sz w:val="16"/>
          <w:szCs w:val="16"/>
        </w:rPr>
      </w:pPr>
      <w:bookmarkStart w:id="7" w:name="_Hlk126597024"/>
      <w:bookmarkStart w:id="8" w:name="_Hlk91480362"/>
      <w:r w:rsidRPr="00EB6A7A">
        <w:rPr>
          <w:rFonts w:ascii="Lato" w:hAnsi="Lato"/>
          <w:sz w:val="16"/>
          <w:szCs w:val="16"/>
          <w:lang w:val="fr-CA"/>
        </w:rPr>
        <w:t>Évaluation fonctionnelle antérieure ou rapport psychopédagogique scolaire préparé par un psychologue ou un ergothérapeute. Indiquez dans les notes où se trouve une copie du rapport</w:t>
      </w:r>
      <w:r w:rsidR="00B05686" w:rsidRPr="00EB6A7A">
        <w:rPr>
          <w:rFonts w:ascii="Lato" w:hAnsi="Lato"/>
          <w:sz w:val="16"/>
          <w:szCs w:val="16"/>
        </w:rPr>
        <w:t>.</w:t>
      </w:r>
      <w:r w:rsidR="003D16B1" w:rsidRPr="00EB6A7A">
        <w:rPr>
          <w:rFonts w:ascii="Lato" w:hAnsi="Lato"/>
          <w:sz w:val="16"/>
          <w:szCs w:val="16"/>
        </w:rPr>
        <w:t xml:space="preserve"> </w:t>
      </w:r>
    </w:p>
    <w:p w14:paraId="5C79B4A5" w14:textId="1E4BE37A" w:rsidR="003D16B1" w:rsidRPr="00EB6A7A" w:rsidRDefault="007835B4" w:rsidP="00732486">
      <w:pPr>
        <w:pStyle w:val="Endnote-Bullet-L1"/>
        <w:spacing w:after="0"/>
        <w:rPr>
          <w:rFonts w:ascii="Lato" w:hAnsi="Lato"/>
          <w:sz w:val="16"/>
          <w:szCs w:val="16"/>
        </w:rPr>
      </w:pPr>
      <w:r w:rsidRPr="00EB6A7A">
        <w:rPr>
          <w:rFonts w:ascii="Lato" w:hAnsi="Lato"/>
          <w:sz w:val="16"/>
          <w:szCs w:val="16"/>
          <w:lang w:val="fr-CA"/>
        </w:rPr>
        <w:t>Comportements d'adaptation : compétences sociales et en communication (p. ex., expressives et réceptives), aptitudes professionnelles, résolution de problèmes, gestion financière</w:t>
      </w:r>
      <w:r w:rsidR="00B05686" w:rsidRPr="00EB6A7A">
        <w:rPr>
          <w:rFonts w:ascii="Lato" w:hAnsi="Lato"/>
          <w:sz w:val="16"/>
          <w:szCs w:val="16"/>
        </w:rPr>
        <w:t>.</w:t>
      </w:r>
      <w:r w:rsidR="003D16B1" w:rsidRPr="00EB6A7A">
        <w:rPr>
          <w:rFonts w:ascii="Lato" w:hAnsi="Lato"/>
          <w:sz w:val="16"/>
          <w:szCs w:val="16"/>
        </w:rPr>
        <w:t xml:space="preserve"> </w:t>
      </w:r>
      <w:r w:rsidR="003D16B1" w:rsidRPr="00EB6A7A">
        <w:rPr>
          <w:rFonts w:ascii="Lato" w:hAnsi="Lato"/>
          <w:sz w:val="16"/>
          <w:szCs w:val="16"/>
        </w:rPr>
        <w:tab/>
      </w:r>
    </w:p>
    <w:p w14:paraId="4414075E" w14:textId="1808D9E7" w:rsidR="003D16B1" w:rsidRPr="00EB6A7A" w:rsidRDefault="007835B4" w:rsidP="00732486">
      <w:pPr>
        <w:pStyle w:val="Endnote-Bullet-L1"/>
        <w:spacing w:after="0"/>
        <w:rPr>
          <w:rFonts w:ascii="Lato" w:hAnsi="Lato"/>
          <w:sz w:val="16"/>
          <w:szCs w:val="16"/>
        </w:rPr>
      </w:pPr>
      <w:r w:rsidRPr="00EB6A7A">
        <w:rPr>
          <w:rFonts w:ascii="Lato" w:hAnsi="Lato"/>
          <w:sz w:val="16"/>
          <w:szCs w:val="16"/>
          <w:lang w:val="fr-CA"/>
        </w:rPr>
        <w:t>Capacité intellectuelle (selon le QI par nombre ou centile (légère, modérée, sévère et profonde)</w:t>
      </w:r>
      <w:r w:rsidR="00B05686" w:rsidRPr="00EB6A7A">
        <w:rPr>
          <w:rFonts w:ascii="Lato" w:hAnsi="Lato"/>
          <w:sz w:val="16"/>
          <w:szCs w:val="16"/>
        </w:rPr>
        <w:t>.</w:t>
      </w:r>
      <w:r w:rsidR="003D16B1" w:rsidRPr="00EB6A7A">
        <w:rPr>
          <w:rFonts w:ascii="Lato" w:hAnsi="Lato"/>
          <w:sz w:val="16"/>
          <w:szCs w:val="16"/>
        </w:rPr>
        <w:t xml:space="preserve"> </w:t>
      </w:r>
    </w:p>
    <w:p w14:paraId="4F6B6A6D" w14:textId="658549FD" w:rsidR="003D16B1" w:rsidRPr="00EB6A7A" w:rsidRDefault="007835B4" w:rsidP="00732486">
      <w:pPr>
        <w:pStyle w:val="Endnote-Bullet-L1"/>
        <w:spacing w:after="0"/>
        <w:rPr>
          <w:rFonts w:ascii="Lato" w:hAnsi="Lato"/>
          <w:sz w:val="16"/>
          <w:szCs w:val="16"/>
        </w:rPr>
      </w:pPr>
      <w:r w:rsidRPr="00EB6A7A">
        <w:rPr>
          <w:rFonts w:ascii="Lato" w:hAnsi="Lato"/>
          <w:sz w:val="16"/>
          <w:szCs w:val="16"/>
          <w:lang w:val="fr-CA"/>
        </w:rPr>
        <w:t>Estimation de l’équivalence au niveau scolaire ou de l'âge mental, tout en reconnaissant que les adultes ont des expériences de vie qui limitent l'utilité de la comparaison avec les enfants</w:t>
      </w:r>
      <w:r w:rsidR="00B05686" w:rsidRPr="00EB6A7A">
        <w:rPr>
          <w:rFonts w:ascii="Lato" w:hAnsi="Lato"/>
          <w:sz w:val="16"/>
          <w:szCs w:val="16"/>
        </w:rPr>
        <w:t>.</w:t>
      </w:r>
      <w:r w:rsidR="003D16B1" w:rsidRPr="00EB6A7A">
        <w:rPr>
          <w:rFonts w:ascii="Lato" w:hAnsi="Lato"/>
          <w:sz w:val="16"/>
          <w:szCs w:val="16"/>
        </w:rPr>
        <w:t xml:space="preserve"> </w:t>
      </w:r>
    </w:p>
    <w:p w14:paraId="66DECA29" w14:textId="6EC4395B" w:rsidR="003D16B1" w:rsidRPr="00EB6A7A" w:rsidRDefault="007835B4" w:rsidP="00B061E0">
      <w:pPr>
        <w:pStyle w:val="Endnote-Bullet-L1"/>
        <w:spacing w:after="0"/>
        <w:rPr>
          <w:rFonts w:ascii="Lato" w:hAnsi="Lato"/>
          <w:sz w:val="16"/>
          <w:szCs w:val="16"/>
        </w:rPr>
      </w:pPr>
      <w:r w:rsidRPr="00EB6A7A">
        <w:rPr>
          <w:rFonts w:ascii="Lato" w:hAnsi="Lato"/>
          <w:sz w:val="16"/>
          <w:szCs w:val="16"/>
          <w:lang w:val="fr-CA"/>
        </w:rPr>
        <w:t>Aptitudes à la vie autonome (</w:t>
      </w:r>
      <w:proofErr w:type="spellStart"/>
      <w:proofErr w:type="gramStart"/>
      <w:r w:rsidRPr="00EB6A7A">
        <w:rPr>
          <w:rFonts w:ascii="Lato" w:hAnsi="Lato"/>
          <w:sz w:val="16"/>
          <w:szCs w:val="16"/>
          <w:lang w:val="fr-CA"/>
        </w:rPr>
        <w:t>AVQs</w:t>
      </w:r>
      <w:proofErr w:type="spellEnd"/>
      <w:r w:rsidRPr="00EB6A7A">
        <w:rPr>
          <w:rFonts w:ascii="Lato" w:hAnsi="Lato"/>
          <w:sz w:val="16"/>
          <w:szCs w:val="16"/>
          <w:lang w:val="fr-CA"/>
        </w:rPr>
        <w:t> ::</w:t>
      </w:r>
      <w:proofErr w:type="gramEnd"/>
      <w:r w:rsidRPr="00EB6A7A">
        <w:rPr>
          <w:rFonts w:ascii="Lato" w:hAnsi="Lato"/>
          <w:sz w:val="16"/>
          <w:szCs w:val="16"/>
          <w:lang w:val="fr-CA"/>
        </w:rPr>
        <w:t xml:space="preserve"> se laver et faire sa toilette, s'habiller et se déshabiller, préparer et manger ses repas, se déplacer, utiliser les toilettes et faire preuve de continence, se déplacer. </w:t>
      </w:r>
      <w:proofErr w:type="spellStart"/>
      <w:r w:rsidRPr="00EB6A7A">
        <w:rPr>
          <w:rFonts w:ascii="Lato" w:hAnsi="Lato"/>
          <w:sz w:val="16"/>
          <w:szCs w:val="16"/>
          <w:lang w:val="fr-CA"/>
        </w:rPr>
        <w:t>AIVQs</w:t>
      </w:r>
      <w:proofErr w:type="spellEnd"/>
      <w:r w:rsidRPr="00EB6A7A">
        <w:rPr>
          <w:rFonts w:ascii="Lato" w:hAnsi="Lato"/>
          <w:sz w:val="16"/>
          <w:szCs w:val="16"/>
          <w:lang w:val="fr-CA"/>
        </w:rPr>
        <w:t xml:space="preserve"> : utiliser le téléphone, faire les courses, préparer les repas, l'entretien ménager, l'utilisation des moyens de transport, la prise de médicaments et la gestion des finances)</w:t>
      </w:r>
      <w:r w:rsidR="00B05686" w:rsidRPr="00EB6A7A">
        <w:rPr>
          <w:rFonts w:ascii="Lato" w:hAnsi="Lato"/>
          <w:sz w:val="16"/>
          <w:szCs w:val="16"/>
        </w:rPr>
        <w:t>.</w:t>
      </w:r>
    </w:p>
    <w:bookmarkEnd w:id="7"/>
    <w:p w14:paraId="0BFE7CAF" w14:textId="171C385A" w:rsidR="005D10B3" w:rsidRDefault="007835B4" w:rsidP="0069562C">
      <w:pPr>
        <w:pStyle w:val="Endnote-Bullet-L1"/>
        <w:spacing w:after="0"/>
        <w:rPr>
          <w:rFonts w:ascii="Lato" w:hAnsi="Lato"/>
          <w:sz w:val="16"/>
          <w:szCs w:val="16"/>
        </w:rPr>
      </w:pPr>
      <w:r w:rsidRPr="00EB6A7A">
        <w:rPr>
          <w:rFonts w:ascii="Lato" w:hAnsi="Lato"/>
          <w:sz w:val="16"/>
          <w:szCs w:val="16"/>
          <w:lang w:val="fr-CA"/>
        </w:rPr>
        <w:t>Autres activités nécessitant un soutien ou une supervision</w:t>
      </w:r>
      <w:r w:rsidR="00B05686" w:rsidRPr="00EB6A7A">
        <w:rPr>
          <w:rFonts w:ascii="Lato" w:hAnsi="Lato"/>
          <w:sz w:val="16"/>
          <w:szCs w:val="16"/>
        </w:rPr>
        <w:t>.</w:t>
      </w:r>
      <w:r w:rsidR="005D10B3" w:rsidRPr="00EB6A7A">
        <w:rPr>
          <w:rFonts w:ascii="Lato" w:hAnsi="Lato"/>
          <w:sz w:val="16"/>
          <w:szCs w:val="16"/>
        </w:rPr>
        <w:t xml:space="preserve"> </w:t>
      </w:r>
    </w:p>
    <w:p w14:paraId="7D98ED2C" w14:textId="77777777" w:rsidR="00B061E0" w:rsidRDefault="00B061E0" w:rsidP="00B061E0">
      <w:pPr>
        <w:pStyle w:val="Endnote-Bullet-L1"/>
        <w:numPr>
          <w:ilvl w:val="0"/>
          <w:numId w:val="0"/>
        </w:numPr>
        <w:spacing w:after="0"/>
        <w:ind w:left="360" w:hanging="180"/>
        <w:rPr>
          <w:rFonts w:ascii="Lato" w:hAnsi="Lato"/>
          <w:sz w:val="16"/>
          <w:szCs w:val="16"/>
        </w:rPr>
      </w:pPr>
    </w:p>
    <w:p w14:paraId="3ACAB324" w14:textId="77777777" w:rsidR="00B061E0" w:rsidRPr="00EB6A7A" w:rsidRDefault="00B061E0" w:rsidP="00B061E0">
      <w:pPr>
        <w:pStyle w:val="Endnote-Bullet-L1"/>
        <w:numPr>
          <w:ilvl w:val="0"/>
          <w:numId w:val="0"/>
        </w:numPr>
        <w:spacing w:after="0"/>
        <w:ind w:left="360" w:hanging="180"/>
        <w:rPr>
          <w:rFonts w:ascii="Lato" w:hAnsi="Lato"/>
          <w:sz w:val="16"/>
          <w:szCs w:val="16"/>
        </w:rPr>
      </w:pPr>
    </w:p>
    <w:bookmarkEnd w:id="8"/>
    <w:p w14:paraId="5A5D8F56" w14:textId="4DBB7718" w:rsidR="005D10B3" w:rsidRPr="00EB6A7A" w:rsidRDefault="007835B4" w:rsidP="00A05F23">
      <w:pPr>
        <w:pStyle w:val="Endnote-Context"/>
        <w:rPr>
          <w:rFonts w:ascii="Lato" w:hAnsi="Lato"/>
          <w:sz w:val="16"/>
          <w:szCs w:val="16"/>
        </w:rPr>
      </w:pPr>
      <w:r w:rsidRPr="00EB6A7A">
        <w:rPr>
          <w:rFonts w:ascii="Lato" w:hAnsi="Lato"/>
          <w:sz w:val="16"/>
          <w:szCs w:val="16"/>
          <w:lang w:val="fr-CA"/>
        </w:rPr>
        <w:t>Se familiariser avec les compétences du patient en termes de communication, de réflexion et d’activités de la vie quotidienne vous rappelle de répondre adéquatement à ses besoins (p. ex., adapter votre discours, votre bureau ou le rythme de la consultation) et de prévoir le soutien nécessaire</w:t>
      </w:r>
      <w:r w:rsidR="005D10B3" w:rsidRPr="00EB6A7A">
        <w:rPr>
          <w:rFonts w:ascii="Lato" w:hAnsi="Lato"/>
          <w:sz w:val="16"/>
          <w:szCs w:val="16"/>
        </w:rPr>
        <w:t xml:space="preserve">. </w:t>
      </w:r>
    </w:p>
    <w:p w14:paraId="696D66E9" w14:textId="77777777" w:rsidR="007835B4" w:rsidRPr="00EB6A7A" w:rsidRDefault="007835B4" w:rsidP="0069562C">
      <w:pPr>
        <w:pStyle w:val="Endnote-Link"/>
        <w:spacing w:after="0"/>
        <w:rPr>
          <w:rFonts w:ascii="Lato" w:hAnsi="Lato"/>
          <w:b/>
          <w:bCs/>
          <w:caps/>
          <w:sz w:val="16"/>
          <w:szCs w:val="16"/>
          <w:lang w:val="en-US"/>
        </w:rPr>
      </w:pPr>
      <w:r w:rsidRPr="00EB6A7A">
        <w:rPr>
          <w:rFonts w:ascii="Lato" w:hAnsi="Lato"/>
          <w:b/>
          <w:bCs/>
          <w:caps/>
          <w:sz w:val="16"/>
          <w:szCs w:val="16"/>
          <w:lang w:val="fr-CA"/>
        </w:rPr>
        <w:t>OUTILS POUR LA PRATIQUE</w:t>
      </w:r>
      <w:r w:rsidRPr="00EB6A7A">
        <w:rPr>
          <w:rFonts w:ascii="Lato" w:hAnsi="Lato"/>
          <w:b/>
          <w:bCs/>
          <w:caps/>
          <w:sz w:val="16"/>
          <w:szCs w:val="16"/>
          <w:lang w:val="en-US"/>
        </w:rPr>
        <w:t xml:space="preserve"> </w:t>
      </w:r>
    </w:p>
    <w:p w14:paraId="757D7A83" w14:textId="59D321E6" w:rsidR="005D10B3" w:rsidRPr="00EB6A7A" w:rsidRDefault="00000000" w:rsidP="0069562C">
      <w:pPr>
        <w:pStyle w:val="Endnote-Link"/>
        <w:spacing w:after="0"/>
        <w:rPr>
          <w:rFonts w:ascii="Lato" w:hAnsi="Lato"/>
          <w:color w:val="0563C1" w:themeColor="hyperlink"/>
          <w:sz w:val="16"/>
          <w:szCs w:val="16"/>
          <w:u w:val="single"/>
          <w:lang w:val="fr-CA"/>
        </w:rPr>
      </w:pPr>
      <w:hyperlink r:id="rId4" w:history="1">
        <w:r w:rsidR="007835B4" w:rsidRPr="007835B4">
          <w:rPr>
            <w:rStyle w:val="Hyperlink"/>
            <w:rFonts w:ascii="Lato" w:hAnsi="Lato"/>
            <w:sz w:val="16"/>
            <w:szCs w:val="16"/>
            <w:lang w:val="fr-CA"/>
          </w:rPr>
          <w:t>L’approche ‘</w:t>
        </w:r>
        <w:proofErr w:type="spellStart"/>
        <w:r w:rsidR="007835B4" w:rsidRPr="007835B4">
          <w:rPr>
            <w:rStyle w:val="Hyperlink"/>
            <w:rFonts w:ascii="Lato" w:hAnsi="Lato"/>
            <w:sz w:val="16"/>
            <w:szCs w:val="16"/>
            <w:lang w:val="fr-CA"/>
          </w:rPr>
          <w:t>Communicate</w:t>
        </w:r>
        <w:proofErr w:type="spellEnd"/>
        <w:r w:rsidR="007835B4" w:rsidRPr="007835B4">
          <w:rPr>
            <w:rStyle w:val="Hyperlink"/>
            <w:rFonts w:ascii="Lato" w:hAnsi="Lato"/>
            <w:sz w:val="16"/>
            <w:szCs w:val="16"/>
            <w:lang w:val="fr-CA"/>
          </w:rPr>
          <w:t xml:space="preserve"> CARE’: Guide pour des soins axés sur la personne</w:t>
        </w:r>
        <w:r w:rsidR="005D10B3" w:rsidRPr="00EB6A7A">
          <w:rPr>
            <w:rStyle w:val="Hyperlink"/>
            <w:rFonts w:ascii="Lato" w:hAnsi="Lato"/>
            <w:sz w:val="16"/>
            <w:szCs w:val="16"/>
            <w:lang w:val="en-US"/>
          </w:rPr>
          <w:t xml:space="preserve"> </w:t>
        </w:r>
      </w:hyperlink>
    </w:p>
    <w:p w14:paraId="69D1DA2A" w14:textId="6F68AA9A" w:rsidR="005D10B3" w:rsidRPr="00EB6A7A" w:rsidRDefault="00000000" w:rsidP="0069562C">
      <w:pPr>
        <w:pStyle w:val="Endnote-Link"/>
        <w:spacing w:after="0"/>
        <w:rPr>
          <w:rFonts w:ascii="Lato" w:hAnsi="Lato"/>
          <w:sz w:val="16"/>
          <w:szCs w:val="16"/>
          <w:lang w:val="en-US"/>
        </w:rPr>
      </w:pPr>
      <w:hyperlink r:id="rId5" w:history="1">
        <w:r w:rsidR="007835B4" w:rsidRPr="007835B4">
          <w:rPr>
            <w:rStyle w:val="Hyperlink"/>
            <w:rFonts w:ascii="Lato" w:hAnsi="Lato"/>
            <w:sz w:val="16"/>
            <w:szCs w:val="16"/>
            <w:lang w:val="fr-CA"/>
          </w:rPr>
          <w:t>Fonctionnement adaptif et communication</w:t>
        </w:r>
      </w:hyperlink>
    </w:p>
    <w:p w14:paraId="32AB70B9" w14:textId="1E0874B7" w:rsidR="005D10B3" w:rsidRPr="00EB6A7A" w:rsidRDefault="00000000" w:rsidP="0069562C">
      <w:pPr>
        <w:pStyle w:val="Endnote-Link"/>
        <w:spacing w:after="0"/>
        <w:rPr>
          <w:rFonts w:ascii="Lato" w:hAnsi="Lato"/>
          <w:sz w:val="16"/>
          <w:szCs w:val="16"/>
          <w:lang w:val="en-US"/>
        </w:rPr>
      </w:pPr>
      <w:hyperlink r:id="rId6" w:history="1">
        <w:r w:rsidR="007835B4" w:rsidRPr="007835B4">
          <w:rPr>
            <w:rStyle w:val="Hyperlink"/>
            <w:rFonts w:ascii="Lato" w:hAnsi="Lato"/>
            <w:sz w:val="16"/>
            <w:szCs w:val="16"/>
            <w:lang w:val="fr-CA"/>
          </w:rPr>
          <w:t xml:space="preserve">Évaluation psychologique des adultes ayant des déficiences intellectuelles et développementales </w:t>
        </w:r>
      </w:hyperlink>
    </w:p>
    <w:p w14:paraId="55B30DDA" w14:textId="1E7AFC4A" w:rsidR="005D10B3" w:rsidRPr="00822B5B" w:rsidRDefault="00000000" w:rsidP="00A14424">
      <w:pPr>
        <w:pStyle w:val="Endnote-Link"/>
        <w:rPr>
          <w:u w:val="single"/>
        </w:rPr>
      </w:pPr>
      <w:hyperlink r:id="rId7" w:history="1">
        <w:r w:rsidR="007835B4" w:rsidRPr="00EB6A7A">
          <w:rPr>
            <w:rStyle w:val="Hyperlink"/>
            <w:rFonts w:ascii="Lato" w:hAnsi="Lato"/>
            <w:sz w:val="16"/>
            <w:szCs w:val="16"/>
            <w:lang w:val="fr-CA"/>
          </w:rPr>
          <w:t>Prise de décision en matière de soins de santé pour adultes ayant des déficiences intellectuelles et développementales : Promouvoir les capacités</w:t>
        </w:r>
      </w:hyperlink>
    </w:p>
  </w:endnote>
  <w:endnote w:id="4">
    <w:p w14:paraId="26F86934" w14:textId="055B54F1" w:rsidR="005D10B3" w:rsidRPr="007835B4" w:rsidRDefault="005D10B3" w:rsidP="0069562C">
      <w:pPr>
        <w:pStyle w:val="Endnote-H4"/>
        <w:spacing w:after="0"/>
        <w:rPr>
          <w:lang w:val="fr-CA"/>
        </w:rPr>
      </w:pPr>
      <w:r>
        <w:rPr>
          <w:rStyle w:val="EndnoteReference"/>
        </w:rPr>
        <w:endnoteRef/>
      </w:r>
      <w:r>
        <w:t xml:space="preserve"> </w:t>
      </w:r>
      <w:r w:rsidR="007835B4" w:rsidRPr="007835B4">
        <w:rPr>
          <w:lang w:val="fr-CA"/>
        </w:rPr>
        <w:t xml:space="preserve">Cause ou condition associée </w:t>
      </w:r>
    </w:p>
    <w:p w14:paraId="7A34F6F2" w14:textId="4C24B3F5" w:rsidR="005D10B3" w:rsidRPr="008953EF" w:rsidRDefault="007835B4" w:rsidP="00047872">
      <w:pPr>
        <w:pStyle w:val="Endnote-Bullet-L1"/>
        <w:spacing w:after="0"/>
        <w:rPr>
          <w:rFonts w:ascii="Lato" w:hAnsi="Lato"/>
          <w:sz w:val="16"/>
          <w:szCs w:val="16"/>
        </w:rPr>
      </w:pPr>
      <w:r w:rsidRPr="008953EF">
        <w:rPr>
          <w:rFonts w:ascii="Lato" w:hAnsi="Lato"/>
          <w:sz w:val="16"/>
          <w:szCs w:val="16"/>
        </w:rPr>
        <w:t xml:space="preserve">Syndrome </w:t>
      </w:r>
      <w:proofErr w:type="spellStart"/>
      <w:r w:rsidRPr="008953EF">
        <w:rPr>
          <w:rFonts w:ascii="Lato" w:hAnsi="Lato"/>
          <w:sz w:val="16"/>
          <w:szCs w:val="16"/>
        </w:rPr>
        <w:t>génétique</w:t>
      </w:r>
      <w:proofErr w:type="spellEnd"/>
    </w:p>
    <w:p w14:paraId="7DFF6A14" w14:textId="1117C916" w:rsidR="007835B4" w:rsidRPr="008953EF" w:rsidRDefault="007835B4" w:rsidP="00047872">
      <w:pPr>
        <w:pStyle w:val="Endnote-Bullet-L1"/>
        <w:spacing w:after="0"/>
        <w:rPr>
          <w:rFonts w:ascii="Lato" w:hAnsi="Lato"/>
          <w:sz w:val="16"/>
          <w:szCs w:val="16"/>
        </w:rPr>
      </w:pPr>
      <w:proofErr w:type="spellStart"/>
      <w:r w:rsidRPr="008953EF">
        <w:rPr>
          <w:rFonts w:ascii="Lato" w:hAnsi="Lato"/>
          <w:sz w:val="16"/>
          <w:szCs w:val="16"/>
        </w:rPr>
        <w:t>Autisme</w:t>
      </w:r>
      <w:proofErr w:type="spellEnd"/>
      <w:r w:rsidRPr="008953EF">
        <w:rPr>
          <w:rFonts w:ascii="Lato" w:hAnsi="Lato"/>
          <w:sz w:val="16"/>
          <w:szCs w:val="16"/>
        </w:rPr>
        <w:t xml:space="preserve"> (et </w:t>
      </w:r>
      <w:proofErr w:type="spellStart"/>
      <w:r w:rsidRPr="008953EF">
        <w:rPr>
          <w:rFonts w:ascii="Lato" w:hAnsi="Lato"/>
          <w:sz w:val="16"/>
          <w:szCs w:val="16"/>
        </w:rPr>
        <w:t>niveau</w:t>
      </w:r>
      <w:proofErr w:type="spellEnd"/>
      <w:r w:rsidRPr="008953EF">
        <w:rPr>
          <w:rFonts w:ascii="Lato" w:hAnsi="Lato"/>
          <w:sz w:val="16"/>
          <w:szCs w:val="16"/>
        </w:rPr>
        <w:t xml:space="preserve"> de </w:t>
      </w:r>
      <w:proofErr w:type="spellStart"/>
      <w:r w:rsidRPr="008953EF">
        <w:rPr>
          <w:rFonts w:ascii="Lato" w:hAnsi="Lato"/>
          <w:sz w:val="16"/>
          <w:szCs w:val="16"/>
        </w:rPr>
        <w:t>sévérité</w:t>
      </w:r>
      <w:proofErr w:type="spellEnd"/>
      <w:r w:rsidRPr="008953EF">
        <w:rPr>
          <w:rFonts w:ascii="Lato" w:hAnsi="Lato"/>
          <w:sz w:val="16"/>
          <w:szCs w:val="16"/>
        </w:rPr>
        <w:t>)</w:t>
      </w:r>
    </w:p>
    <w:p w14:paraId="681647F5" w14:textId="77777777" w:rsidR="007835B4" w:rsidRPr="008953EF" w:rsidRDefault="007835B4" w:rsidP="00732486">
      <w:pPr>
        <w:pStyle w:val="Endnote-Bullet-L1"/>
        <w:spacing w:after="0"/>
        <w:rPr>
          <w:rFonts w:ascii="Lato" w:hAnsi="Lato"/>
          <w:sz w:val="16"/>
          <w:szCs w:val="16"/>
        </w:rPr>
      </w:pPr>
      <w:r w:rsidRPr="008953EF">
        <w:rPr>
          <w:rFonts w:ascii="Lato" w:hAnsi="Lato"/>
          <w:sz w:val="16"/>
          <w:szCs w:val="16"/>
          <w:lang w:val="fr-CA"/>
        </w:rPr>
        <w:t>Paralysie cérébrale</w:t>
      </w:r>
      <w:r w:rsidRPr="008953EF">
        <w:rPr>
          <w:rFonts w:ascii="Lato" w:hAnsi="Lato"/>
          <w:sz w:val="16"/>
          <w:szCs w:val="16"/>
        </w:rPr>
        <w:t xml:space="preserve"> </w:t>
      </w:r>
    </w:p>
    <w:p w14:paraId="574F063B" w14:textId="1FB34382" w:rsidR="005D10B3" w:rsidRPr="008953EF" w:rsidRDefault="007835B4" w:rsidP="00732486">
      <w:pPr>
        <w:pStyle w:val="Endnote-Bullet-L1"/>
        <w:spacing w:after="0"/>
        <w:rPr>
          <w:rFonts w:ascii="Lato" w:hAnsi="Lato"/>
          <w:sz w:val="16"/>
          <w:szCs w:val="16"/>
        </w:rPr>
      </w:pPr>
      <w:r w:rsidRPr="008953EF">
        <w:rPr>
          <w:rFonts w:ascii="Lato" w:hAnsi="Lato"/>
          <w:sz w:val="16"/>
          <w:szCs w:val="16"/>
          <w:lang w:val="fr-CA"/>
        </w:rPr>
        <w:t>Trouble du spectre de l'alcoolisation fœtale (TSAF)</w:t>
      </w:r>
      <w:r w:rsidR="005D10B3" w:rsidRPr="008953EF">
        <w:rPr>
          <w:rFonts w:ascii="Lato" w:hAnsi="Lato"/>
          <w:sz w:val="16"/>
          <w:szCs w:val="16"/>
        </w:rPr>
        <w:tab/>
      </w:r>
    </w:p>
    <w:p w14:paraId="0DAEDED4" w14:textId="7488F002"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Infection cérébrale</w:t>
      </w:r>
      <w:r w:rsidR="005D10B3" w:rsidRPr="008953EF">
        <w:rPr>
          <w:rFonts w:ascii="Lato" w:hAnsi="Lato"/>
          <w:sz w:val="16"/>
          <w:szCs w:val="16"/>
        </w:rPr>
        <w:tab/>
      </w:r>
    </w:p>
    <w:p w14:paraId="08A712E2" w14:textId="71FE88FF"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Traumatisme cérébral</w:t>
      </w:r>
    </w:p>
    <w:p w14:paraId="0C8C0D7F" w14:textId="71A5CEDC"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Aucune cause connue ni de condition associé</w:t>
      </w:r>
      <w:r w:rsidRPr="008953EF">
        <w:rPr>
          <w:rFonts w:ascii="Lato" w:hAnsi="Lato"/>
          <w:sz w:val="16"/>
          <w:szCs w:val="16"/>
        </w:rPr>
        <w:t>e</w:t>
      </w:r>
    </w:p>
    <w:p w14:paraId="73EE66BF" w14:textId="39B0F95E"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Date de l'évaluation génétique précédente</w:t>
      </w:r>
    </w:p>
    <w:p w14:paraId="1BE8B4A3" w14:textId="28BC7320"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Neuro-imagerie</w:t>
      </w:r>
    </w:p>
    <w:p w14:paraId="49667F72" w14:textId="7A70FC8E" w:rsidR="005D10B3" w:rsidRPr="008953EF" w:rsidRDefault="00E44B69" w:rsidP="0069562C">
      <w:pPr>
        <w:pStyle w:val="Endnote-Bullet-L1"/>
        <w:spacing w:after="0"/>
        <w:rPr>
          <w:rFonts w:ascii="Lato" w:hAnsi="Lato"/>
          <w:sz w:val="16"/>
          <w:szCs w:val="16"/>
        </w:rPr>
      </w:pPr>
      <w:r w:rsidRPr="008953EF">
        <w:rPr>
          <w:rFonts w:ascii="Lato" w:hAnsi="Lato"/>
          <w:sz w:val="16"/>
          <w:szCs w:val="16"/>
          <w:lang w:val="fr-CA"/>
        </w:rPr>
        <w:t>Électroencéphalogramme</w:t>
      </w:r>
      <w:r w:rsidRPr="008953EF">
        <w:rPr>
          <w:rFonts w:ascii="Lato" w:hAnsi="Lato"/>
          <w:sz w:val="16"/>
          <w:szCs w:val="16"/>
        </w:rPr>
        <w:t xml:space="preserve"> (</w:t>
      </w:r>
      <w:r w:rsidR="005D10B3" w:rsidRPr="008953EF">
        <w:rPr>
          <w:rFonts w:ascii="Lato" w:hAnsi="Lato"/>
          <w:sz w:val="16"/>
          <w:szCs w:val="16"/>
        </w:rPr>
        <w:t>EEG</w:t>
      </w:r>
      <w:r w:rsidRPr="008953EF">
        <w:rPr>
          <w:rFonts w:ascii="Lato" w:hAnsi="Lato"/>
          <w:sz w:val="16"/>
          <w:szCs w:val="16"/>
        </w:rPr>
        <w:t>)</w:t>
      </w:r>
    </w:p>
    <w:p w14:paraId="73DC0A54" w14:textId="714F3E68" w:rsidR="00D9287E" w:rsidRPr="008953EF" w:rsidRDefault="00E44B69" w:rsidP="0069562C">
      <w:pPr>
        <w:pStyle w:val="Endnote-Context"/>
        <w:spacing w:after="0"/>
        <w:rPr>
          <w:rFonts w:ascii="Lato" w:hAnsi="Lato"/>
          <w:strike/>
          <w:sz w:val="16"/>
          <w:szCs w:val="16"/>
        </w:rPr>
      </w:pPr>
      <w:r w:rsidRPr="008953EF">
        <w:rPr>
          <w:rFonts w:ascii="Lato" w:hAnsi="Lato"/>
          <w:sz w:val="16"/>
          <w:szCs w:val="16"/>
          <w:lang w:val="fr-CA"/>
        </w:rPr>
        <w:t>Une évaluation génétique répétée pour ceux qui n'ont pas de cause génétique connue pour leurs DID (par exemple, tous les 5 ans) pourrait être appropriée, compte tenu des progrès dans le domaine de la génétique. Si aucune évaluation génétique n'a été effectuée jusqu'à maintenant, consultez l'outil ‘Évaluation génétique : Foire aux questions’</w:t>
      </w:r>
      <w:r w:rsidR="00D9287E" w:rsidRPr="008953EF">
        <w:rPr>
          <w:rFonts w:ascii="Lato" w:hAnsi="Lato"/>
          <w:sz w:val="16"/>
          <w:szCs w:val="16"/>
        </w:rPr>
        <w:t>.</w:t>
      </w:r>
    </w:p>
    <w:p w14:paraId="5B85278F" w14:textId="4ABE419A" w:rsidR="00D9287E" w:rsidRPr="008953EF" w:rsidRDefault="00E44B69" w:rsidP="00D9287E">
      <w:pPr>
        <w:pStyle w:val="Endnote-Context"/>
        <w:rPr>
          <w:rFonts w:ascii="Lato" w:hAnsi="Lato"/>
          <w:sz w:val="16"/>
          <w:szCs w:val="16"/>
        </w:rPr>
      </w:pPr>
      <w:r w:rsidRPr="008953EF">
        <w:rPr>
          <w:rFonts w:ascii="Lato" w:hAnsi="Lato"/>
          <w:sz w:val="16"/>
          <w:szCs w:val="16"/>
          <w:lang w:val="fr-CA"/>
        </w:rPr>
        <w:t>Des renseignements précis à propos de différents syndromes sont disponibles dans les Tableaux de surveillance de la santé (en anglais) (syndrome de Down, syndrome de l’X fragile, syndrome de Prader-</w:t>
      </w:r>
      <w:proofErr w:type="spellStart"/>
      <w:r w:rsidRPr="008953EF">
        <w:rPr>
          <w:rFonts w:ascii="Lato" w:hAnsi="Lato"/>
          <w:sz w:val="16"/>
          <w:szCs w:val="16"/>
          <w:lang w:val="fr-CA"/>
        </w:rPr>
        <w:t>Willi</w:t>
      </w:r>
      <w:proofErr w:type="spellEnd"/>
      <w:r w:rsidRPr="008953EF">
        <w:rPr>
          <w:rFonts w:ascii="Lato" w:hAnsi="Lato"/>
          <w:sz w:val="16"/>
          <w:szCs w:val="16"/>
          <w:lang w:val="fr-CA"/>
        </w:rPr>
        <w:t>, syndrome de Smith-</w:t>
      </w:r>
      <w:proofErr w:type="spellStart"/>
      <w:r w:rsidRPr="008953EF">
        <w:rPr>
          <w:rFonts w:ascii="Lato" w:hAnsi="Lato"/>
          <w:sz w:val="16"/>
          <w:szCs w:val="16"/>
          <w:lang w:val="fr-CA"/>
        </w:rPr>
        <w:t>Magenis</w:t>
      </w:r>
      <w:proofErr w:type="spellEnd"/>
      <w:r w:rsidRPr="008953EF">
        <w:rPr>
          <w:rFonts w:ascii="Lato" w:hAnsi="Lato"/>
          <w:sz w:val="16"/>
          <w:szCs w:val="16"/>
          <w:lang w:val="fr-CA"/>
        </w:rPr>
        <w:t>, syndrome de délétion du chromosome 22q11.2</w:t>
      </w:r>
      <w:proofErr w:type="gramStart"/>
      <w:r w:rsidRPr="008953EF">
        <w:rPr>
          <w:rFonts w:ascii="Lato" w:hAnsi="Lato"/>
          <w:sz w:val="16"/>
          <w:szCs w:val="16"/>
          <w:lang w:val="fr-CA"/>
        </w:rPr>
        <w:t>,  troubles</w:t>
      </w:r>
      <w:proofErr w:type="gramEnd"/>
      <w:r w:rsidRPr="008953EF">
        <w:rPr>
          <w:rFonts w:ascii="Lato" w:hAnsi="Lato"/>
          <w:sz w:val="16"/>
          <w:szCs w:val="16"/>
          <w:lang w:val="fr-CA"/>
        </w:rPr>
        <w:t xml:space="preserve"> du spectre de l’alcoolisation </w:t>
      </w:r>
      <w:proofErr w:type="spellStart"/>
      <w:r w:rsidRPr="008953EF">
        <w:rPr>
          <w:rFonts w:ascii="Lato" w:hAnsi="Lato"/>
          <w:sz w:val="16"/>
          <w:szCs w:val="16"/>
          <w:lang w:val="fr-CA"/>
        </w:rPr>
        <w:t>foetale</w:t>
      </w:r>
      <w:proofErr w:type="spellEnd"/>
      <w:r w:rsidRPr="008953EF">
        <w:rPr>
          <w:rFonts w:ascii="Lato" w:hAnsi="Lato"/>
          <w:sz w:val="16"/>
          <w:szCs w:val="16"/>
          <w:lang w:val="fr-CA"/>
        </w:rPr>
        <w:t>, syndrome de William, troubles du spectre de l’autisme, syndrome d’Angelman)</w:t>
      </w:r>
      <w:r w:rsidR="00D9287E" w:rsidRPr="008953EF">
        <w:rPr>
          <w:rFonts w:ascii="Lato" w:hAnsi="Lato"/>
          <w:sz w:val="16"/>
          <w:szCs w:val="16"/>
        </w:rPr>
        <w:t xml:space="preserve">. </w:t>
      </w:r>
    </w:p>
    <w:p w14:paraId="5CE8B93D" w14:textId="65B1834C" w:rsidR="005D10B3" w:rsidRPr="008953EF" w:rsidRDefault="00E44B69" w:rsidP="0069562C">
      <w:pPr>
        <w:pStyle w:val="Endnote-H5"/>
        <w:spacing w:after="0"/>
        <w:rPr>
          <w:rFonts w:ascii="Lato" w:hAnsi="Lato"/>
          <w:sz w:val="16"/>
          <w:szCs w:val="16"/>
        </w:rPr>
      </w:pPr>
      <w:r w:rsidRPr="008953EF">
        <w:rPr>
          <w:rFonts w:ascii="Lato" w:hAnsi="Lato"/>
          <w:sz w:val="16"/>
          <w:szCs w:val="16"/>
          <w:lang w:val="fr-CA"/>
        </w:rPr>
        <w:t>OUTILS POUR LA PRATIQUE</w:t>
      </w:r>
    </w:p>
    <w:p w14:paraId="67174FD8" w14:textId="739D3A7C" w:rsidR="005D10B3" w:rsidRPr="008953EF" w:rsidRDefault="00000000" w:rsidP="0069562C">
      <w:pPr>
        <w:pStyle w:val="Endnote-Link"/>
        <w:spacing w:after="0"/>
        <w:rPr>
          <w:rFonts w:ascii="Lato" w:hAnsi="Lato"/>
          <w:sz w:val="16"/>
          <w:szCs w:val="16"/>
        </w:rPr>
      </w:pPr>
      <w:hyperlink r:id="rId8" w:history="1">
        <w:r w:rsidR="00E44B69" w:rsidRPr="008953EF">
          <w:rPr>
            <w:rStyle w:val="Hyperlink"/>
            <w:rFonts w:ascii="Lato" w:hAnsi="Lato"/>
            <w:sz w:val="16"/>
            <w:szCs w:val="16"/>
            <w:lang w:val="fr-CA"/>
          </w:rPr>
          <w:t>Tableaux de surveillance de la santé (en anglais)</w:t>
        </w:r>
        <w:r w:rsidR="00E44B69" w:rsidRPr="008953EF">
          <w:rPr>
            <w:rStyle w:val="Hyperlink"/>
            <w:rFonts w:ascii="Lato" w:hAnsi="Lato"/>
            <w:sz w:val="16"/>
            <w:szCs w:val="16"/>
            <w:lang w:val="en-US"/>
          </w:rPr>
          <w:t xml:space="preserve"> </w:t>
        </w:r>
      </w:hyperlink>
      <w:r w:rsidR="005D10B3" w:rsidRPr="008953EF">
        <w:rPr>
          <w:rFonts w:ascii="Lato" w:hAnsi="Lato"/>
          <w:sz w:val="16"/>
          <w:szCs w:val="16"/>
        </w:rPr>
        <w:t xml:space="preserve"> </w:t>
      </w:r>
    </w:p>
    <w:p w14:paraId="783DD8A9" w14:textId="247C3302" w:rsidR="005D10B3" w:rsidRPr="008953EF" w:rsidRDefault="00000000" w:rsidP="00A14424">
      <w:pPr>
        <w:pStyle w:val="Endnote-Link"/>
        <w:rPr>
          <w:rFonts w:ascii="Lato" w:hAnsi="Lato"/>
          <w:sz w:val="16"/>
          <w:szCs w:val="16"/>
        </w:rPr>
      </w:pPr>
      <w:hyperlink r:id="rId9" w:history="1">
        <w:r w:rsidR="00E44B69" w:rsidRPr="008953EF">
          <w:rPr>
            <w:rStyle w:val="Hyperlink"/>
            <w:rFonts w:ascii="Lato" w:hAnsi="Lato"/>
            <w:sz w:val="16"/>
            <w:szCs w:val="16"/>
            <w:lang w:val="fr-CA"/>
          </w:rPr>
          <w:t>Évaluation génétique : Foire aux questions</w:t>
        </w:r>
      </w:hyperlink>
    </w:p>
  </w:endnote>
  <w:endnote w:id="5">
    <w:p w14:paraId="2FBBFECA" w14:textId="782335A4" w:rsidR="005D10B3" w:rsidRDefault="005D10B3" w:rsidP="0069562C">
      <w:pPr>
        <w:pStyle w:val="Endnote-H4"/>
        <w:spacing w:after="0"/>
      </w:pPr>
      <w:r>
        <w:rPr>
          <w:rStyle w:val="EndnoteReference"/>
        </w:rPr>
        <w:endnoteRef/>
      </w:r>
      <w:r>
        <w:t xml:space="preserve"> </w:t>
      </w:r>
      <w:proofErr w:type="spellStart"/>
      <w:r w:rsidR="00E44B69" w:rsidRPr="00E44B69">
        <w:t>Soutiens</w:t>
      </w:r>
      <w:proofErr w:type="spellEnd"/>
      <w:r w:rsidR="00E44B69" w:rsidRPr="00E44B69">
        <w:t xml:space="preserve"> </w:t>
      </w:r>
      <w:proofErr w:type="spellStart"/>
      <w:r w:rsidR="00E44B69" w:rsidRPr="00E44B69">
        <w:t>sociaux</w:t>
      </w:r>
      <w:proofErr w:type="spellEnd"/>
      <w:r w:rsidR="00E44B69" w:rsidRPr="00E44B69">
        <w:t xml:space="preserve"> et </w:t>
      </w:r>
      <w:proofErr w:type="spellStart"/>
      <w:r w:rsidR="00E44B69" w:rsidRPr="00E44B69">
        <w:t>communautaires</w:t>
      </w:r>
      <w:proofErr w:type="spellEnd"/>
    </w:p>
    <w:p w14:paraId="474C3E74" w14:textId="103A080F"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Personne(s) contact pour prendre les rendez-vous</w:t>
      </w:r>
      <w:r w:rsidR="00F57499" w:rsidRPr="008953EF">
        <w:rPr>
          <w:rFonts w:ascii="Lato" w:hAnsi="Lato"/>
          <w:sz w:val="16"/>
          <w:szCs w:val="16"/>
        </w:rPr>
        <w:t>.</w:t>
      </w:r>
    </w:p>
    <w:p w14:paraId="5304C966" w14:textId="08D8E320" w:rsidR="005D10B3" w:rsidRPr="008953EF" w:rsidRDefault="00E44B69" w:rsidP="00732486">
      <w:pPr>
        <w:pStyle w:val="Endnote-Bullet-L1"/>
        <w:spacing w:after="0"/>
        <w:rPr>
          <w:rFonts w:ascii="Lato" w:hAnsi="Lato"/>
          <w:sz w:val="16"/>
          <w:szCs w:val="16"/>
        </w:rPr>
      </w:pPr>
      <w:r w:rsidRPr="008953EF">
        <w:rPr>
          <w:rFonts w:ascii="Lato" w:hAnsi="Lato"/>
          <w:sz w:val="16"/>
          <w:szCs w:val="16"/>
          <w:lang w:val="fr-CA"/>
        </w:rPr>
        <w:t>Personne de confiance que le patient aimerait que l'on avise de ses rendez-vous</w:t>
      </w:r>
      <w:r w:rsidR="00B05686" w:rsidRPr="008953EF">
        <w:rPr>
          <w:rFonts w:ascii="Lato" w:hAnsi="Lato"/>
          <w:sz w:val="16"/>
          <w:szCs w:val="16"/>
        </w:rPr>
        <w:t>.</w:t>
      </w:r>
    </w:p>
    <w:p w14:paraId="79AF1F0D" w14:textId="7AB6B433" w:rsidR="0089007E" w:rsidRPr="008953EF" w:rsidRDefault="00E44B69" w:rsidP="00732486">
      <w:pPr>
        <w:pStyle w:val="Endnote-Bullet-L1"/>
        <w:spacing w:after="0"/>
        <w:rPr>
          <w:rFonts w:ascii="Lato" w:hAnsi="Lato"/>
          <w:sz w:val="16"/>
          <w:szCs w:val="16"/>
        </w:rPr>
      </w:pPr>
      <w:r w:rsidRPr="008953EF">
        <w:rPr>
          <w:rFonts w:ascii="Lato" w:hAnsi="Lato"/>
          <w:sz w:val="16"/>
          <w:szCs w:val="16"/>
          <w:lang w:val="fr-CA"/>
        </w:rPr>
        <w:t>Aide à la prise de décision en matière de santé : La capacité est spécifique à chaque décision et doit être évaluée pour chaque décision de santé. Le patient peut être capable ou avoir besoin de soutien pour être capable de prendre des décisions indépendantes; ou, s'il est incapable, a besoin d'un mandataire spécial</w:t>
      </w:r>
      <w:r w:rsidR="00B05686" w:rsidRPr="008953EF">
        <w:rPr>
          <w:rFonts w:ascii="Lato" w:hAnsi="Lato"/>
          <w:sz w:val="16"/>
          <w:szCs w:val="16"/>
        </w:rPr>
        <w:t>.</w:t>
      </w:r>
      <w:r w:rsidR="0089007E" w:rsidRPr="008953EF">
        <w:rPr>
          <w:rFonts w:ascii="Lato" w:hAnsi="Lato"/>
          <w:sz w:val="16"/>
          <w:szCs w:val="16"/>
        </w:rPr>
        <w:t xml:space="preserve"> </w:t>
      </w:r>
    </w:p>
    <w:p w14:paraId="4E471D20" w14:textId="79B9601F" w:rsidR="0089007E" w:rsidRPr="008953EF" w:rsidRDefault="00E44B69" w:rsidP="00732486">
      <w:pPr>
        <w:pStyle w:val="Endnote-Bullet-L1"/>
        <w:spacing w:after="0"/>
        <w:rPr>
          <w:rFonts w:ascii="Lato" w:hAnsi="Lato"/>
          <w:sz w:val="16"/>
          <w:szCs w:val="16"/>
        </w:rPr>
      </w:pPr>
      <w:r w:rsidRPr="008953EF">
        <w:rPr>
          <w:rFonts w:ascii="Lato" w:hAnsi="Lato"/>
          <w:sz w:val="16"/>
          <w:szCs w:val="16"/>
          <w:lang w:val="fr-CA"/>
        </w:rPr>
        <w:t>Agence de services pour les personnes ayant une déficience intellectuelle ou autres liens avec des services sociaux</w:t>
      </w:r>
      <w:r w:rsidR="00B05686" w:rsidRPr="008953EF">
        <w:rPr>
          <w:rFonts w:ascii="Lato" w:hAnsi="Lato"/>
          <w:sz w:val="16"/>
          <w:szCs w:val="16"/>
        </w:rPr>
        <w:t>.</w:t>
      </w:r>
      <w:r w:rsidR="0089007E" w:rsidRPr="008953EF">
        <w:rPr>
          <w:rFonts w:ascii="Lato" w:hAnsi="Lato"/>
          <w:sz w:val="16"/>
          <w:szCs w:val="16"/>
        </w:rPr>
        <w:t xml:space="preserve"> </w:t>
      </w:r>
    </w:p>
    <w:p w14:paraId="19352194" w14:textId="6960E1FC" w:rsidR="0089007E" w:rsidRPr="008953EF" w:rsidRDefault="00E44B69" w:rsidP="00732486">
      <w:pPr>
        <w:pStyle w:val="Endnote-Bullet-L1"/>
        <w:spacing w:after="0"/>
        <w:rPr>
          <w:rFonts w:ascii="Lato" w:hAnsi="Lato"/>
          <w:sz w:val="16"/>
          <w:szCs w:val="16"/>
        </w:rPr>
      </w:pPr>
      <w:r w:rsidRPr="008953EF">
        <w:rPr>
          <w:rFonts w:ascii="Lato" w:hAnsi="Lato"/>
          <w:sz w:val="16"/>
          <w:szCs w:val="16"/>
          <w:lang w:val="fr-CA"/>
        </w:rPr>
        <w:t>Sources de revenus (par ex., aide sociale municipale/provinciale ou soutien aux personnes handicapées ; crédit d'impôt fédéral pour les personnes handicapées et un Régime enregistré d’Épargne-invalidité)</w:t>
      </w:r>
      <w:r w:rsidR="00B05686" w:rsidRPr="008953EF">
        <w:rPr>
          <w:rFonts w:ascii="Lato" w:hAnsi="Lato"/>
          <w:sz w:val="16"/>
          <w:szCs w:val="16"/>
        </w:rPr>
        <w:t>.</w:t>
      </w:r>
    </w:p>
    <w:p w14:paraId="2655F326" w14:textId="2E431BE4" w:rsidR="0089007E" w:rsidRPr="008953EF" w:rsidRDefault="00C75AA6" w:rsidP="00732486">
      <w:pPr>
        <w:pStyle w:val="Endnote-Bullet-L1"/>
        <w:spacing w:after="0"/>
        <w:rPr>
          <w:rFonts w:ascii="Lato" w:hAnsi="Lato"/>
          <w:sz w:val="16"/>
          <w:szCs w:val="16"/>
        </w:rPr>
      </w:pPr>
      <w:r w:rsidRPr="008953EF">
        <w:rPr>
          <w:rFonts w:ascii="Lato" w:hAnsi="Lato"/>
          <w:sz w:val="16"/>
          <w:szCs w:val="16"/>
          <w:lang w:val="fr-CA"/>
        </w:rPr>
        <w:t>Logement (par ex., vivre de façon autonome, avec sa famille, de façon autonome avec un soutien, dans un foyer de groupe</w:t>
      </w:r>
      <w:r w:rsidR="0089007E" w:rsidRPr="008953EF">
        <w:rPr>
          <w:rFonts w:ascii="Lato" w:hAnsi="Lato"/>
          <w:sz w:val="16"/>
          <w:szCs w:val="16"/>
        </w:rPr>
        <w:t>)</w:t>
      </w:r>
      <w:r w:rsidR="00B05686" w:rsidRPr="008953EF">
        <w:rPr>
          <w:rFonts w:ascii="Lato" w:hAnsi="Lato"/>
          <w:sz w:val="16"/>
          <w:szCs w:val="16"/>
        </w:rPr>
        <w:t>.</w:t>
      </w:r>
    </w:p>
    <w:p w14:paraId="4A5DBE1D" w14:textId="3A61217D"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Emploi, programme de jour et services de répit</w:t>
      </w:r>
      <w:r w:rsidR="00F57499" w:rsidRPr="008953EF">
        <w:rPr>
          <w:rFonts w:ascii="Lato" w:hAnsi="Lato"/>
          <w:sz w:val="16"/>
          <w:szCs w:val="16"/>
        </w:rPr>
        <w:t>.</w:t>
      </w:r>
    </w:p>
    <w:p w14:paraId="0953390D" w14:textId="2BB761CB"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Assurance médicaments</w:t>
      </w:r>
      <w:r w:rsidR="00F57499" w:rsidRPr="008953EF">
        <w:rPr>
          <w:rFonts w:ascii="Lato" w:hAnsi="Lato"/>
          <w:sz w:val="16"/>
          <w:szCs w:val="16"/>
        </w:rPr>
        <w:t>.</w:t>
      </w:r>
    </w:p>
    <w:p w14:paraId="58C06B62" w14:textId="6FB00E6D" w:rsidR="0089007E" w:rsidRPr="008953EF" w:rsidRDefault="00C75AA6" w:rsidP="00732486">
      <w:pPr>
        <w:pStyle w:val="Endnote-Bullet-L1"/>
        <w:spacing w:after="0"/>
        <w:rPr>
          <w:rFonts w:ascii="Lato" w:hAnsi="Lato"/>
          <w:sz w:val="16"/>
          <w:szCs w:val="16"/>
        </w:rPr>
      </w:pPr>
      <w:r w:rsidRPr="008953EF">
        <w:rPr>
          <w:rFonts w:ascii="Lato" w:hAnsi="Lato"/>
          <w:sz w:val="16"/>
          <w:szCs w:val="16"/>
          <w:lang w:val="fr-CA"/>
        </w:rPr>
        <w:t>Risques, vulnérabilités et obstacles à la promotion de la santé (p. ex., logement instable, polypharmacie, activités ou exercices inaccessibles de façon indépendante</w:t>
      </w:r>
      <w:r w:rsidR="0089007E" w:rsidRPr="008953EF">
        <w:rPr>
          <w:rFonts w:ascii="Lato" w:hAnsi="Lato"/>
          <w:sz w:val="16"/>
          <w:szCs w:val="16"/>
        </w:rPr>
        <w:t>)</w:t>
      </w:r>
      <w:r w:rsidR="00B05686" w:rsidRPr="008953EF">
        <w:rPr>
          <w:rFonts w:ascii="Lato" w:hAnsi="Lato"/>
          <w:sz w:val="16"/>
          <w:szCs w:val="16"/>
        </w:rPr>
        <w:t>.</w:t>
      </w:r>
    </w:p>
    <w:p w14:paraId="68E46943" w14:textId="78A51352" w:rsidR="0089007E" w:rsidRPr="008953EF" w:rsidRDefault="00C75AA6" w:rsidP="0069562C">
      <w:pPr>
        <w:pStyle w:val="Endnote-Bullet-L1"/>
        <w:spacing w:after="0"/>
        <w:rPr>
          <w:rFonts w:ascii="Lato" w:hAnsi="Lato"/>
          <w:sz w:val="16"/>
          <w:szCs w:val="16"/>
        </w:rPr>
      </w:pPr>
      <w:proofErr w:type="spellStart"/>
      <w:r w:rsidRPr="008953EF">
        <w:rPr>
          <w:rFonts w:ascii="Lato" w:hAnsi="Lato"/>
          <w:sz w:val="16"/>
          <w:szCs w:val="16"/>
        </w:rPr>
        <w:t>Autres</w:t>
      </w:r>
      <w:proofErr w:type="spellEnd"/>
      <w:r w:rsidRPr="008953EF">
        <w:rPr>
          <w:rFonts w:ascii="Lato" w:hAnsi="Lato"/>
          <w:sz w:val="16"/>
          <w:szCs w:val="16"/>
        </w:rPr>
        <w:t xml:space="preserve"> </w:t>
      </w:r>
      <w:proofErr w:type="spellStart"/>
      <w:r w:rsidRPr="008953EF">
        <w:rPr>
          <w:rFonts w:ascii="Lato" w:hAnsi="Lato"/>
          <w:sz w:val="16"/>
          <w:szCs w:val="16"/>
        </w:rPr>
        <w:t>soutiens</w:t>
      </w:r>
      <w:proofErr w:type="spellEnd"/>
      <w:r w:rsidR="00F57499" w:rsidRPr="008953EF">
        <w:rPr>
          <w:rFonts w:ascii="Lato" w:hAnsi="Lato"/>
          <w:sz w:val="16"/>
          <w:szCs w:val="16"/>
        </w:rPr>
        <w:t>.</w:t>
      </w:r>
    </w:p>
    <w:p w14:paraId="2DBD6D76" w14:textId="72D1E8BA" w:rsidR="005D10B3" w:rsidRPr="008953EF" w:rsidRDefault="00C75AA6" w:rsidP="0069562C">
      <w:pPr>
        <w:pStyle w:val="Endnote-Context"/>
        <w:spacing w:before="0"/>
        <w:rPr>
          <w:rFonts w:ascii="Lato" w:hAnsi="Lato"/>
          <w:sz w:val="16"/>
          <w:szCs w:val="16"/>
        </w:rPr>
      </w:pPr>
      <w:r w:rsidRPr="008953EF">
        <w:rPr>
          <w:rFonts w:ascii="Lato" w:hAnsi="Lato"/>
          <w:sz w:val="16"/>
          <w:szCs w:val="16"/>
          <w:lang w:val="fr-CA"/>
        </w:rPr>
        <w:t xml:space="preserve">Ces renseignements sont </w:t>
      </w:r>
      <w:proofErr w:type="spellStart"/>
      <w:r w:rsidRPr="008953EF">
        <w:rPr>
          <w:rFonts w:ascii="Lato" w:hAnsi="Lato"/>
          <w:sz w:val="16"/>
          <w:szCs w:val="16"/>
          <w:lang w:val="fr-CA"/>
        </w:rPr>
        <w:t>pertinentsdans</w:t>
      </w:r>
      <w:proofErr w:type="spellEnd"/>
      <w:r w:rsidRPr="008953EF">
        <w:rPr>
          <w:rFonts w:ascii="Lato" w:hAnsi="Lato"/>
          <w:sz w:val="16"/>
          <w:szCs w:val="16"/>
          <w:lang w:val="fr-CA"/>
        </w:rPr>
        <w:t xml:space="preserve"> la mise en </w:t>
      </w:r>
      <w:proofErr w:type="spellStart"/>
      <w:r w:rsidRPr="008953EF">
        <w:rPr>
          <w:rFonts w:ascii="Lato" w:hAnsi="Lato"/>
          <w:sz w:val="16"/>
          <w:szCs w:val="16"/>
          <w:lang w:val="fr-CA"/>
        </w:rPr>
        <w:t>oeuvre</w:t>
      </w:r>
      <w:proofErr w:type="spellEnd"/>
      <w:r w:rsidRPr="008953EF">
        <w:rPr>
          <w:rFonts w:ascii="Lato" w:hAnsi="Lato"/>
          <w:sz w:val="16"/>
          <w:szCs w:val="16"/>
          <w:lang w:val="fr-CA"/>
        </w:rPr>
        <w:t xml:space="preserve"> des plans d’action établis à la suite de tout entretien, dont les Examens de santé</w:t>
      </w:r>
      <w:r w:rsidR="005D10B3" w:rsidRPr="008953EF">
        <w:rPr>
          <w:rFonts w:ascii="Lato" w:hAnsi="Lato"/>
          <w:sz w:val="16"/>
          <w:szCs w:val="16"/>
        </w:rPr>
        <w:t>.</w:t>
      </w:r>
    </w:p>
  </w:endnote>
  <w:endnote w:id="6">
    <w:p w14:paraId="06350592" w14:textId="703FAFF1" w:rsidR="005D10B3" w:rsidRDefault="005D10B3" w:rsidP="0069562C">
      <w:pPr>
        <w:pStyle w:val="Endnote-H4"/>
        <w:spacing w:after="0"/>
      </w:pPr>
      <w:r>
        <w:rPr>
          <w:rStyle w:val="EndnoteReference"/>
        </w:rPr>
        <w:endnoteRef/>
      </w:r>
      <w:r>
        <w:t xml:space="preserve"> </w:t>
      </w:r>
      <w:r w:rsidR="00C75AA6" w:rsidRPr="00C75AA6">
        <w:rPr>
          <w:lang w:val="fr-CA"/>
        </w:rPr>
        <w:t>Renseignements axés sur le patient afin de s'assurer du bon déroulement des rendez-vous</w:t>
      </w:r>
    </w:p>
    <w:p w14:paraId="06A6F3A6" w14:textId="3986D755" w:rsidR="004F14EA" w:rsidRPr="008953EF" w:rsidRDefault="00C75AA6" w:rsidP="00732486">
      <w:pPr>
        <w:pStyle w:val="Endnote-Bullet-L1"/>
        <w:spacing w:after="0"/>
        <w:rPr>
          <w:rFonts w:ascii="Lato" w:hAnsi="Lato"/>
          <w:sz w:val="16"/>
          <w:szCs w:val="16"/>
        </w:rPr>
      </w:pPr>
      <w:r w:rsidRPr="008953EF">
        <w:rPr>
          <w:rFonts w:ascii="Lato" w:hAnsi="Lato"/>
          <w:sz w:val="16"/>
          <w:szCs w:val="16"/>
          <w:lang w:val="fr-CA"/>
        </w:rPr>
        <w:t xml:space="preserve">Préférences du patient en matière de rendez-vous : Bureau, téléphone, vidéoconférence ou visite à domicile ; horaire et </w:t>
      </w:r>
      <w:proofErr w:type="gramStart"/>
      <w:r w:rsidRPr="008953EF">
        <w:rPr>
          <w:rFonts w:ascii="Lato" w:hAnsi="Lato"/>
          <w:sz w:val="16"/>
          <w:szCs w:val="16"/>
          <w:lang w:val="fr-CA"/>
        </w:rPr>
        <w:t>durée préférés</w:t>
      </w:r>
      <w:proofErr w:type="gramEnd"/>
      <w:r w:rsidRPr="008953EF">
        <w:rPr>
          <w:rFonts w:ascii="Lato" w:hAnsi="Lato"/>
          <w:sz w:val="16"/>
          <w:szCs w:val="16"/>
          <w:lang w:val="fr-CA"/>
        </w:rPr>
        <w:t xml:space="preserve"> ; éléments de confort ; sensibilités environnementales ; téléphone, courriel ou message texte pour fixer les rendez-vous</w:t>
      </w:r>
      <w:r w:rsidR="004F14EA" w:rsidRPr="008953EF">
        <w:rPr>
          <w:rFonts w:ascii="Lato" w:hAnsi="Lato"/>
          <w:sz w:val="16"/>
          <w:szCs w:val="16"/>
        </w:rPr>
        <w:t xml:space="preserve"> </w:t>
      </w:r>
    </w:p>
    <w:p w14:paraId="4DDDCB58" w14:textId="36099DA4" w:rsidR="004F14EA" w:rsidRPr="008953EF" w:rsidRDefault="00C75AA6" w:rsidP="00732486">
      <w:pPr>
        <w:pStyle w:val="Endnote-Bullet-L1"/>
        <w:spacing w:after="0"/>
        <w:rPr>
          <w:rFonts w:ascii="Lato" w:hAnsi="Lato"/>
          <w:sz w:val="16"/>
          <w:szCs w:val="16"/>
        </w:rPr>
      </w:pPr>
      <w:r w:rsidRPr="008953EF">
        <w:rPr>
          <w:rFonts w:ascii="Lato" w:hAnsi="Lato"/>
          <w:sz w:val="16"/>
          <w:szCs w:val="16"/>
          <w:lang w:val="fr-CA"/>
        </w:rPr>
        <w:t>Les capacités, les points forts et les intérêts du patient</w:t>
      </w:r>
    </w:p>
    <w:p w14:paraId="50CED6F8" w14:textId="6BC086C7"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Comment le patient manifeste-t-il la douleur, la peur, l’anxiété, la tristesse ou la colère et comment l'aider dans ces situations?</w:t>
      </w:r>
    </w:p>
    <w:p w14:paraId="2A19C66E" w14:textId="6C9654BC"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Réaction habituelle à l'examen médical et tout problème de sécurité ou élément déclencheur</w:t>
      </w:r>
    </w:p>
    <w:p w14:paraId="39DE37BD" w14:textId="4311F084"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Compétences en termes de communication, besoins, aides (verbales, non verbales, images, signes)</w:t>
      </w:r>
    </w:p>
    <w:p w14:paraId="1D0D15F8" w14:textId="3C2B5F01"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Besoins de mobilité dans le cabinet et capacité à se déplacer vers et à partir de la table d'examen</w:t>
      </w:r>
    </w:p>
    <w:p w14:paraId="1A108970" w14:textId="728F382E" w:rsidR="005D10B3" w:rsidRPr="008953EF" w:rsidRDefault="00C75AA6" w:rsidP="00732486">
      <w:pPr>
        <w:pStyle w:val="Endnote-Bullet-L1"/>
        <w:spacing w:after="0"/>
        <w:rPr>
          <w:rFonts w:ascii="Lato" w:hAnsi="Lato"/>
          <w:sz w:val="16"/>
          <w:szCs w:val="16"/>
        </w:rPr>
      </w:pPr>
      <w:r w:rsidRPr="008953EF">
        <w:rPr>
          <w:rFonts w:ascii="Lato" w:hAnsi="Lato"/>
          <w:sz w:val="16"/>
          <w:szCs w:val="16"/>
          <w:lang w:val="fr-CA"/>
        </w:rPr>
        <w:t>Autres suggestions de la part du patient ou de son aidant</w:t>
      </w:r>
    </w:p>
    <w:p w14:paraId="077545F6" w14:textId="30A99189" w:rsidR="004F14EA" w:rsidRPr="008953EF" w:rsidRDefault="00C75AA6" w:rsidP="00732486">
      <w:pPr>
        <w:pStyle w:val="Endnote-Bullet-L1"/>
        <w:spacing w:after="0"/>
        <w:rPr>
          <w:rFonts w:ascii="Lato" w:hAnsi="Lato"/>
          <w:sz w:val="16"/>
          <w:szCs w:val="16"/>
        </w:rPr>
      </w:pPr>
      <w:r w:rsidRPr="008953EF">
        <w:rPr>
          <w:rFonts w:ascii="Lato" w:hAnsi="Lato"/>
          <w:sz w:val="16"/>
          <w:szCs w:val="16"/>
          <w:lang w:val="fr-CA"/>
        </w:rPr>
        <w:t>Bilan de l'état de santé</w:t>
      </w:r>
    </w:p>
    <w:p w14:paraId="3909B1A7" w14:textId="5DD0F6C9" w:rsidR="004F14EA" w:rsidRPr="008953EF" w:rsidRDefault="00C75AA6" w:rsidP="0069562C">
      <w:pPr>
        <w:pStyle w:val="Endnote-Bullet-L1"/>
        <w:spacing w:after="0"/>
        <w:rPr>
          <w:rFonts w:ascii="Lato" w:hAnsi="Lato"/>
          <w:sz w:val="16"/>
          <w:szCs w:val="16"/>
        </w:rPr>
      </w:pPr>
      <w:r w:rsidRPr="008953EF">
        <w:rPr>
          <w:rFonts w:ascii="Lato" w:hAnsi="Lato"/>
          <w:sz w:val="16"/>
          <w:szCs w:val="16"/>
          <w:lang w:val="fr-CA"/>
        </w:rPr>
        <w:t>Plan de crise ou plan de gestion de cas</w:t>
      </w:r>
      <w:r w:rsidR="004F14EA" w:rsidRPr="008953EF">
        <w:rPr>
          <w:rFonts w:ascii="Lato" w:hAnsi="Lato"/>
          <w:sz w:val="16"/>
          <w:szCs w:val="16"/>
        </w:rPr>
        <w:t xml:space="preserve"> </w:t>
      </w:r>
    </w:p>
    <w:p w14:paraId="52349152" w14:textId="134B9153" w:rsidR="00C764A1" w:rsidRPr="008953EF" w:rsidRDefault="00C75AA6" w:rsidP="00C764A1">
      <w:pPr>
        <w:pStyle w:val="Endnote-Context"/>
        <w:rPr>
          <w:rFonts w:ascii="Lato" w:hAnsi="Lato"/>
          <w:sz w:val="16"/>
          <w:szCs w:val="16"/>
        </w:rPr>
      </w:pPr>
      <w:r w:rsidRPr="008953EF">
        <w:rPr>
          <w:rFonts w:ascii="Lato" w:hAnsi="Lato"/>
          <w:sz w:val="16"/>
          <w:szCs w:val="16"/>
          <w:lang w:val="fr-CA"/>
        </w:rPr>
        <w:t>Indiquez dans le PCP si un plan de crise ou un plan de gestion de cas a été établi. Un plan de crise est destiné aux problèmes urgents (par ex., crises comportementales, état épileptique, blocage de sonde, volvulus récurrent, pseudo-convulsions, pseudo-coma). S'il existe un plan de crise, identifiez l'endroit où se trouve une copie de ce document. Avec le consentement du patient, veillez à ce que le personnel du service d'urgence local dispose également de ce plan de crise</w:t>
      </w:r>
      <w:r w:rsidR="00C764A1" w:rsidRPr="008953EF">
        <w:rPr>
          <w:rFonts w:ascii="Lato" w:hAnsi="Lato"/>
          <w:sz w:val="16"/>
          <w:szCs w:val="16"/>
        </w:rPr>
        <w:t>.</w:t>
      </w:r>
    </w:p>
    <w:p w14:paraId="45B7E589" w14:textId="56A0ECFD" w:rsidR="00C764A1" w:rsidRPr="008953EF" w:rsidRDefault="00C75AA6" w:rsidP="00C764A1">
      <w:pPr>
        <w:pStyle w:val="Endnote-Context"/>
        <w:rPr>
          <w:rFonts w:ascii="Lato" w:hAnsi="Lato"/>
          <w:sz w:val="16"/>
          <w:szCs w:val="16"/>
        </w:rPr>
      </w:pPr>
      <w:r w:rsidRPr="008953EF">
        <w:rPr>
          <w:rFonts w:ascii="Lato" w:hAnsi="Lato"/>
          <w:sz w:val="16"/>
          <w:szCs w:val="16"/>
          <w:lang w:val="fr-CA"/>
        </w:rPr>
        <w:t>Un plan de gestion de cas peut avoir été mis en place par une agence spécialisée dans les services offerts aux personnes ayant une DID ou par des services sociaux, y compris des informations médicales. Proposez aux patients ou aux aidants</w:t>
      </w:r>
      <w:r w:rsidRPr="008953EF">
        <w:rPr>
          <w:rFonts w:ascii="Lato" w:hAnsi="Lato" w:cstheme="minorHAnsi"/>
          <w:color w:val="000000"/>
          <w:sz w:val="16"/>
          <w:szCs w:val="16"/>
          <w:lang w:val="fr-CA"/>
        </w:rPr>
        <w:t xml:space="preserve"> </w:t>
      </w:r>
      <w:r w:rsidRPr="008953EF">
        <w:rPr>
          <w:rFonts w:ascii="Lato" w:hAnsi="Lato"/>
          <w:sz w:val="16"/>
          <w:szCs w:val="16"/>
          <w:lang w:val="fr-CA"/>
        </w:rPr>
        <w:t>des outils pour les aider à identifier les problèmes qu'ils rencontrent lorsqu'ils se rendent chez le médecin. Les patients et leurs professionnels de la santé gagnent à partager des bilans de santé et des plans de crise préparés.</w:t>
      </w:r>
      <w:r w:rsidR="00C764A1" w:rsidRPr="008953EF">
        <w:rPr>
          <w:rFonts w:ascii="Lato" w:hAnsi="Lato"/>
          <w:sz w:val="16"/>
          <w:szCs w:val="16"/>
        </w:rPr>
        <w:t xml:space="preserve"> </w:t>
      </w:r>
    </w:p>
    <w:p w14:paraId="799AB73B" w14:textId="713CFFEF" w:rsidR="005D10B3" w:rsidRPr="0069562C" w:rsidRDefault="00C75AA6" w:rsidP="0069562C">
      <w:pPr>
        <w:pStyle w:val="Endnote-Link"/>
        <w:spacing w:after="0"/>
        <w:rPr>
          <w:rFonts w:ascii="Lato" w:hAnsi="Lato"/>
          <w:b/>
          <w:bCs/>
          <w:sz w:val="16"/>
          <w:szCs w:val="16"/>
        </w:rPr>
      </w:pPr>
      <w:r w:rsidRPr="0069562C">
        <w:rPr>
          <w:rFonts w:ascii="Lato" w:hAnsi="Lato"/>
          <w:b/>
          <w:bCs/>
          <w:sz w:val="16"/>
          <w:szCs w:val="16"/>
        </w:rPr>
        <w:t>OUTILS POUR LA PRATIQUE</w:t>
      </w:r>
      <w:r w:rsidR="005D10B3" w:rsidRPr="0069562C">
        <w:rPr>
          <w:rFonts w:ascii="Lato" w:hAnsi="Lato"/>
          <w:b/>
          <w:bCs/>
          <w:sz w:val="16"/>
          <w:szCs w:val="16"/>
        </w:rPr>
        <w:t xml:space="preserve"> </w:t>
      </w:r>
    </w:p>
    <w:p w14:paraId="535ABE0A" w14:textId="4FC1950C" w:rsidR="005D10B3" w:rsidRDefault="00000000" w:rsidP="00A14424">
      <w:pPr>
        <w:pStyle w:val="Endnote-Link"/>
        <w:rPr>
          <w:rFonts w:ascii="Lato" w:hAnsi="Lato"/>
          <w:sz w:val="16"/>
          <w:szCs w:val="16"/>
        </w:rPr>
      </w:pPr>
      <w:hyperlink r:id="rId10" w:history="1">
        <w:r w:rsidR="005D392A" w:rsidRPr="008953EF">
          <w:rPr>
            <w:rStyle w:val="Hyperlink"/>
            <w:rFonts w:ascii="Lato" w:hAnsi="Lato"/>
            <w:sz w:val="16"/>
            <w:szCs w:val="16"/>
            <w:lang w:val="fr-CA"/>
          </w:rPr>
          <w:t>‘À propos de ma santé’</w:t>
        </w:r>
      </w:hyperlink>
      <w:r w:rsidR="005D10B3" w:rsidRPr="008953EF">
        <w:rPr>
          <w:rFonts w:ascii="Lato" w:hAnsi="Lato"/>
          <w:sz w:val="16"/>
          <w:szCs w:val="16"/>
        </w:rPr>
        <w:t xml:space="preserve"> </w:t>
      </w:r>
      <w:r w:rsidR="005D392A" w:rsidRPr="008953EF">
        <w:rPr>
          <w:rFonts w:ascii="Lato" w:hAnsi="Lato"/>
          <w:sz w:val="16"/>
          <w:szCs w:val="16"/>
          <w:lang w:val="fr-CA"/>
        </w:rPr>
        <w:t>est un outil permettant aux patients d'indiquer ce qu'ils aiment et n'aiment pas, leur stratégie de communication préférée, leurs contacts, leurs antécédents médicaux et les médicaments qu'ils prennent. Ceci est particulièrement utile pour se préparer à rencontrer un nouveau prestataire de soins de santé et pour fournir des informations pour le PCP spécifique aux DID (étape 2) de ‘l’Examen de santé’</w:t>
      </w:r>
      <w:r w:rsidR="00C74969" w:rsidRPr="008953EF">
        <w:rPr>
          <w:rFonts w:ascii="Lato" w:hAnsi="Lato"/>
          <w:sz w:val="16"/>
          <w:szCs w:val="16"/>
        </w:rPr>
        <w:t xml:space="preserve">. </w:t>
      </w:r>
    </w:p>
    <w:p w14:paraId="6755712C" w14:textId="77777777" w:rsidR="00B061E0" w:rsidRDefault="00B061E0" w:rsidP="00A14424">
      <w:pPr>
        <w:pStyle w:val="Endnote-Link"/>
        <w:rPr>
          <w:rFonts w:ascii="Lato" w:hAnsi="Lato"/>
          <w:sz w:val="16"/>
          <w:szCs w:val="16"/>
        </w:rPr>
      </w:pPr>
    </w:p>
    <w:p w14:paraId="6124F3F0" w14:textId="77777777" w:rsidR="00B061E0" w:rsidRPr="008953EF" w:rsidRDefault="00B061E0" w:rsidP="00A14424">
      <w:pPr>
        <w:pStyle w:val="Endnote-Link"/>
        <w:rPr>
          <w:rFonts w:ascii="Lato" w:hAnsi="Lato"/>
          <w:sz w:val="16"/>
          <w:szCs w:val="16"/>
        </w:rPr>
      </w:pPr>
    </w:p>
  </w:endnote>
  <w:endnote w:id="7">
    <w:p w14:paraId="7EBD8EE4" w14:textId="2E9B1AC1" w:rsidR="00E005B1" w:rsidRDefault="00E005B1" w:rsidP="0069562C">
      <w:pPr>
        <w:pStyle w:val="Endnote-H4"/>
        <w:spacing w:after="0"/>
        <w:rPr>
          <w:b w:val="0"/>
          <w:bCs w:val="0"/>
        </w:rPr>
      </w:pPr>
      <w:r w:rsidRPr="00C54449">
        <w:rPr>
          <w:rStyle w:val="EndnoteReference"/>
          <w:b w:val="0"/>
        </w:rPr>
        <w:endnoteRef/>
      </w:r>
      <w:r>
        <w:t xml:space="preserve"> </w:t>
      </w:r>
      <w:r w:rsidR="005D392A" w:rsidRPr="005D392A">
        <w:rPr>
          <w:b w:val="0"/>
          <w:bCs w:val="0"/>
          <w:lang w:val="fr-CA"/>
        </w:rPr>
        <w:t>Consultants et autres membres de l'équipe de soins</w:t>
      </w:r>
    </w:p>
    <w:p w14:paraId="639E137D" w14:textId="6E64527D" w:rsidR="00E005B1" w:rsidRPr="008953EF" w:rsidRDefault="005D392A" w:rsidP="00732486">
      <w:pPr>
        <w:pStyle w:val="Endnote-Bullet-L1"/>
        <w:spacing w:after="0"/>
        <w:rPr>
          <w:rFonts w:ascii="Lato" w:hAnsi="Lato"/>
          <w:sz w:val="16"/>
          <w:szCs w:val="16"/>
        </w:rPr>
      </w:pPr>
      <w:r w:rsidRPr="008953EF">
        <w:rPr>
          <w:rFonts w:ascii="Lato" w:hAnsi="Lato"/>
          <w:sz w:val="16"/>
          <w:szCs w:val="16"/>
          <w:lang w:val="fr-CA"/>
        </w:rPr>
        <w:t>Énumérez les personnes qui sont (ou qui pourraient être) impliquées dans les soins du patient</w:t>
      </w:r>
      <w:r w:rsidR="00E005B1" w:rsidRPr="008953EF">
        <w:rPr>
          <w:rFonts w:ascii="Lato" w:hAnsi="Lato"/>
          <w:sz w:val="16"/>
          <w:szCs w:val="16"/>
        </w:rPr>
        <w:t>.</w:t>
      </w:r>
    </w:p>
    <w:p w14:paraId="425E8CF5" w14:textId="35F14726" w:rsidR="00E005B1" w:rsidRPr="008953EF" w:rsidRDefault="005D392A" w:rsidP="0069562C">
      <w:pPr>
        <w:pStyle w:val="Endnote-Bullet-L1"/>
        <w:spacing w:after="0"/>
        <w:rPr>
          <w:rFonts w:ascii="Lato" w:hAnsi="Lato"/>
          <w:sz w:val="16"/>
          <w:szCs w:val="16"/>
        </w:rPr>
      </w:pPr>
      <w:r w:rsidRPr="008953EF">
        <w:rPr>
          <w:rFonts w:ascii="Lato" w:hAnsi="Lato"/>
          <w:sz w:val="16"/>
          <w:szCs w:val="16"/>
          <w:lang w:val="fr-CA"/>
        </w:rPr>
        <w:t>Est-ce que vous ou votre patient pouvez avoir accès à un coordinateur de soins de santé ou à un gestionnaire de cas pour les aider à s'orienter dans le système de soins de santé</w:t>
      </w:r>
      <w:r w:rsidR="00E005B1" w:rsidRPr="008953EF">
        <w:rPr>
          <w:rFonts w:ascii="Lato" w:hAnsi="Lato"/>
          <w:sz w:val="16"/>
          <w:szCs w:val="16"/>
        </w:rPr>
        <w:t>?</w:t>
      </w:r>
    </w:p>
    <w:p w14:paraId="22CC0683" w14:textId="76117B22" w:rsidR="00967095" w:rsidRPr="008953EF" w:rsidRDefault="005D392A" w:rsidP="00967095">
      <w:pPr>
        <w:pStyle w:val="Endnote-Context"/>
        <w:rPr>
          <w:rFonts w:ascii="Lato" w:hAnsi="Lato"/>
          <w:sz w:val="16"/>
          <w:szCs w:val="16"/>
        </w:rPr>
      </w:pPr>
      <w:r w:rsidRPr="008953EF">
        <w:rPr>
          <w:rFonts w:ascii="Lato" w:hAnsi="Lato"/>
          <w:sz w:val="16"/>
          <w:szCs w:val="16"/>
          <w:lang w:val="fr-CA"/>
        </w:rPr>
        <w:t>Il y a un large éventail de membres potentiels de l'équipe : un médecin de famille, une infirmière ou une infirmière praticienne dans votre communauté ayant un intérêt particulier pour les DID, que vous pourriez consulter. Un conseiller en génétique, un diététicien, un pédiatre spécialiste en DID, un psychiatre, un psychologue, un pharmacien, un physiatre, un physiothérapeute, un ergothérapeute, un audiologiste et un orthophoniste, un thérapeute comportemental, un travailleur social et d'autres spécialistes médicaux peuvent s'avérer utiles, là où disponibles</w:t>
      </w:r>
      <w:r w:rsidR="00967095" w:rsidRPr="008953EF">
        <w:rPr>
          <w:rFonts w:ascii="Lato" w:hAnsi="Lato"/>
          <w:sz w:val="16"/>
          <w:szCs w:val="16"/>
        </w:rPr>
        <w:t xml:space="preserve">. </w:t>
      </w:r>
    </w:p>
    <w:p w14:paraId="08229FB1" w14:textId="616B715E" w:rsidR="00E005B1" w:rsidRPr="008953EF" w:rsidRDefault="005D392A" w:rsidP="00A05F23">
      <w:pPr>
        <w:pStyle w:val="Endnote-Context"/>
        <w:rPr>
          <w:rFonts w:ascii="Lato" w:hAnsi="Lato"/>
          <w:sz w:val="16"/>
          <w:szCs w:val="16"/>
        </w:rPr>
      </w:pPr>
      <w:r w:rsidRPr="008953EF">
        <w:rPr>
          <w:rFonts w:ascii="Lato" w:hAnsi="Lato"/>
          <w:sz w:val="16"/>
          <w:szCs w:val="16"/>
          <w:lang w:val="fr-CA"/>
        </w:rPr>
        <w:t>Notez les coordonnées, la fréquence des suivis et la date du prochain rendez-vous des personnes faisant partie du réseau de soutien</w:t>
      </w:r>
      <w:r w:rsidR="00E005B1" w:rsidRPr="008953EF">
        <w:rPr>
          <w:rFonts w:ascii="Lato" w:hAnsi="Lato"/>
          <w:sz w:val="16"/>
          <w:szCs w:val="16"/>
        </w:rPr>
        <w:t>.</w:t>
      </w:r>
    </w:p>
    <w:p w14:paraId="0315AAC8" w14:textId="17E67074" w:rsidR="00E005B1" w:rsidRPr="008953EF" w:rsidRDefault="005D392A" w:rsidP="00A05F23">
      <w:pPr>
        <w:pStyle w:val="Endnote-Context"/>
        <w:rPr>
          <w:rFonts w:ascii="Lato" w:hAnsi="Lato"/>
          <w:sz w:val="16"/>
          <w:szCs w:val="16"/>
        </w:rPr>
      </w:pPr>
      <w:r w:rsidRPr="008953EF">
        <w:rPr>
          <w:rFonts w:ascii="Lato" w:hAnsi="Lato"/>
          <w:sz w:val="16"/>
          <w:szCs w:val="16"/>
          <w:lang w:val="fr-CA"/>
        </w:rPr>
        <w:t xml:space="preserve">En ce qui concerne le système de soins de santé, les objectifs pourraient être de faciliter la communication entre le patient et le réseau de fournisseurs de soins, de faciliter la présence aux rendez-vous, le transport, la prise de médicaments, </w:t>
      </w:r>
      <w:proofErr w:type="spellStart"/>
      <w:r w:rsidRPr="008953EF">
        <w:rPr>
          <w:rFonts w:ascii="Lato" w:hAnsi="Lato"/>
          <w:sz w:val="16"/>
          <w:szCs w:val="16"/>
          <w:lang w:val="fr-CA"/>
        </w:rPr>
        <w:t>etc</w:t>
      </w:r>
      <w:proofErr w:type="spellEnd"/>
      <w:r w:rsidR="00E005B1" w:rsidRPr="008953EF">
        <w:rPr>
          <w:rFonts w:ascii="Lato" w:hAnsi="Lato"/>
          <w:sz w:val="16"/>
          <w:szCs w:val="16"/>
        </w:rPr>
        <w:t xml:space="preserve">. </w:t>
      </w:r>
      <w:r w:rsidRPr="008953EF">
        <w:rPr>
          <w:rFonts w:ascii="Lato" w:hAnsi="Lato"/>
          <w:sz w:val="16"/>
          <w:szCs w:val="16"/>
          <w:lang w:val="fr-CA"/>
        </w:rPr>
        <w:t>Ces services pourraient être offerts par une agence ou une organisation locale offrant des services aux personnes ayant des DID ou par les services sociaux ou de santé du gouvernement provincial ou régional. De l'information sur les ressources locales peut être disponible auprès d'une section locale ou provinciale/territoriale d'Inclusion Canada ou une agence communautaire locale de santé mentale</w:t>
      </w:r>
      <w:r w:rsidR="00E005B1" w:rsidRPr="008953EF">
        <w:rPr>
          <w:rFonts w:ascii="Lato" w:hAnsi="Lato"/>
          <w:sz w:val="16"/>
          <w:szCs w:val="16"/>
        </w:rPr>
        <w:t>.</w:t>
      </w:r>
    </w:p>
  </w:endnote>
  <w:endnote w:id="8">
    <w:p w14:paraId="72E2D6C2" w14:textId="7C069535" w:rsidR="007B3962" w:rsidRPr="005D392A" w:rsidRDefault="007B3962" w:rsidP="0069631F">
      <w:pPr>
        <w:pStyle w:val="Endnote-H4"/>
        <w:spacing w:after="0"/>
        <w:rPr>
          <w:lang w:val="fr-CA"/>
        </w:rPr>
      </w:pPr>
      <w:r>
        <w:rPr>
          <w:rStyle w:val="EndnoteReference"/>
        </w:rPr>
        <w:endnoteRef/>
      </w:r>
      <w:r>
        <w:t xml:space="preserve"> </w:t>
      </w:r>
      <w:r w:rsidR="005D392A" w:rsidRPr="005D392A">
        <w:rPr>
          <w:lang w:val="fr-CA"/>
        </w:rPr>
        <w:t>L'inactivité physique est prévalente chez les patients ayant des DID.</w:t>
      </w:r>
      <w:r w:rsidR="005D392A">
        <w:rPr>
          <w:lang w:val="fr-CA"/>
        </w:rPr>
        <w:t xml:space="preserve"> </w:t>
      </w:r>
      <w:r w:rsidR="005D392A" w:rsidRPr="005D392A">
        <w:rPr>
          <w:lang w:val="fr-CA"/>
        </w:rPr>
        <w:t>Revoir la gestion des maladies chroniques, les médicaments et les analyses de laboratoires et d'imageries antérieures pertinentes</w:t>
      </w:r>
      <w:r w:rsidR="002F1A4A">
        <w:t>.</w:t>
      </w:r>
    </w:p>
    <w:p w14:paraId="0355D4E1" w14:textId="162F6225" w:rsidR="007B3962" w:rsidRPr="008953EF" w:rsidRDefault="005D392A" w:rsidP="00732486">
      <w:pPr>
        <w:pStyle w:val="Endnote-Bullet-L1"/>
        <w:spacing w:after="0"/>
        <w:rPr>
          <w:rFonts w:ascii="Lato" w:hAnsi="Lato"/>
          <w:sz w:val="16"/>
          <w:szCs w:val="16"/>
        </w:rPr>
      </w:pPr>
      <w:r w:rsidRPr="008953EF">
        <w:rPr>
          <w:rFonts w:ascii="Lato" w:hAnsi="Lato"/>
          <w:sz w:val="16"/>
          <w:szCs w:val="16"/>
          <w:lang w:val="fr-CA"/>
        </w:rPr>
        <w:t xml:space="preserve">Revoir la gestion des maladies chroniques connues de ce patient, telles que décrites dans son Profil </w:t>
      </w:r>
      <w:proofErr w:type="gramStart"/>
      <w:r w:rsidRPr="008953EF">
        <w:rPr>
          <w:rFonts w:ascii="Lato" w:hAnsi="Lato"/>
          <w:sz w:val="16"/>
          <w:szCs w:val="16"/>
          <w:lang w:val="fr-CA"/>
        </w:rPr>
        <w:t>cumulatif ,</w:t>
      </w:r>
      <w:proofErr w:type="gramEnd"/>
      <w:r w:rsidRPr="008953EF">
        <w:rPr>
          <w:rFonts w:ascii="Lato" w:hAnsi="Lato"/>
          <w:sz w:val="16"/>
          <w:szCs w:val="16"/>
          <w:lang w:val="fr-CA"/>
        </w:rPr>
        <w:t xml:space="preserve"> celles associées aux DID ou autres</w:t>
      </w:r>
      <w:r w:rsidR="007B3962" w:rsidRPr="008953EF">
        <w:rPr>
          <w:rFonts w:ascii="Lato" w:hAnsi="Lato"/>
          <w:sz w:val="16"/>
          <w:szCs w:val="16"/>
        </w:rPr>
        <w:t xml:space="preserve">. </w:t>
      </w:r>
    </w:p>
    <w:p w14:paraId="0ED46DB8" w14:textId="619092A5" w:rsidR="007B3962" w:rsidRPr="008953EF" w:rsidRDefault="005D392A" w:rsidP="0069631F">
      <w:pPr>
        <w:pStyle w:val="Endnote-Bullet-L1"/>
        <w:spacing w:after="0"/>
        <w:rPr>
          <w:rFonts w:ascii="Lato" w:hAnsi="Lato"/>
          <w:b/>
          <w:bCs/>
          <w:sz w:val="16"/>
          <w:szCs w:val="16"/>
        </w:rPr>
      </w:pPr>
      <w:r w:rsidRPr="008953EF">
        <w:rPr>
          <w:rFonts w:ascii="Lato" w:hAnsi="Lato"/>
          <w:sz w:val="16"/>
          <w:szCs w:val="16"/>
          <w:lang w:val="fr-CA"/>
        </w:rPr>
        <w:t>Veillez à ce qu'une aide soit disponible pour se présenter aux rendez-vous de suivi des soins primaires ou aux rendez-vous avec des consultants</w:t>
      </w:r>
      <w:r w:rsidR="007B3962" w:rsidRPr="008953EF">
        <w:rPr>
          <w:rFonts w:ascii="Lato" w:hAnsi="Lato"/>
          <w:sz w:val="16"/>
          <w:szCs w:val="16"/>
        </w:rPr>
        <w:t>.</w:t>
      </w:r>
    </w:p>
    <w:p w14:paraId="001814CC" w14:textId="65B3FE5B" w:rsidR="007B3962" w:rsidRPr="008953EF" w:rsidRDefault="005D392A" w:rsidP="00A05F23">
      <w:pPr>
        <w:pStyle w:val="Endnote-Context"/>
        <w:rPr>
          <w:rFonts w:ascii="Lato" w:hAnsi="Lato"/>
          <w:sz w:val="16"/>
          <w:szCs w:val="16"/>
        </w:rPr>
      </w:pPr>
      <w:r w:rsidRPr="008953EF">
        <w:rPr>
          <w:rFonts w:ascii="Lato" w:hAnsi="Lato"/>
          <w:sz w:val="16"/>
          <w:szCs w:val="16"/>
          <w:lang w:val="fr-CA"/>
        </w:rPr>
        <w:t xml:space="preserve">Tenir </w:t>
      </w:r>
      <w:proofErr w:type="gramStart"/>
      <w:r w:rsidRPr="008953EF">
        <w:rPr>
          <w:rFonts w:ascii="Lato" w:hAnsi="Lato"/>
          <w:sz w:val="16"/>
          <w:szCs w:val="16"/>
          <w:lang w:val="fr-CA"/>
        </w:rPr>
        <w:t>compte  des</w:t>
      </w:r>
      <w:proofErr w:type="gramEnd"/>
      <w:r w:rsidRPr="008953EF">
        <w:rPr>
          <w:rFonts w:ascii="Lato" w:hAnsi="Lato"/>
          <w:sz w:val="16"/>
          <w:szCs w:val="16"/>
          <w:lang w:val="fr-CA"/>
        </w:rPr>
        <w:t xml:space="preserve"> besoins de soutien du patient afin d’assurer la gestion de ses maladies chroniques (p. ex., pour adhérer aux médicaments ou se présenter aux rendez-vous, surtout pour un patient ayant une DID légère qui vit seul) ou pour surveiller lui-même les symptômes de maladie (p. ex., afin de signaler les symptômes de détérioration de maladies chroniques). Dans le cadre d’un plan de gestion des maladies chroniques, adaptez les mesures de soutien au besoin (p. ex., éduquer les personnes aidantes sur les symptômes de la progression de</w:t>
      </w:r>
      <w:r w:rsidRPr="008953EF">
        <w:rPr>
          <w:rFonts w:ascii="Lato" w:hAnsi="Lato" w:cstheme="minorHAnsi"/>
          <w:color w:val="000000"/>
          <w:sz w:val="16"/>
          <w:szCs w:val="16"/>
          <w:lang w:val="fr-CA"/>
        </w:rPr>
        <w:t xml:space="preserve"> </w:t>
      </w:r>
      <w:r w:rsidRPr="008953EF">
        <w:rPr>
          <w:rFonts w:ascii="Lato" w:hAnsi="Lato"/>
          <w:sz w:val="16"/>
          <w:szCs w:val="16"/>
          <w:lang w:val="fr-CA"/>
        </w:rPr>
        <w:t>la maladie, surtout pour un patient ayant des DID sévères ou profondes</w:t>
      </w:r>
      <w:r w:rsidR="007B3962" w:rsidRPr="008953EF">
        <w:rPr>
          <w:rFonts w:ascii="Lato" w:hAnsi="Lato"/>
          <w:sz w:val="16"/>
          <w:szCs w:val="16"/>
        </w:rPr>
        <w:t>)</w:t>
      </w:r>
      <w:r w:rsidR="00DC64BA" w:rsidRPr="008953EF">
        <w:rPr>
          <w:rFonts w:ascii="Lato" w:hAnsi="Lato"/>
          <w:sz w:val="16"/>
          <w:szCs w:val="16"/>
        </w:rPr>
        <w:t>.</w:t>
      </w:r>
      <w:r w:rsidR="007B3962" w:rsidRPr="008953EF">
        <w:rPr>
          <w:rFonts w:ascii="Lato" w:hAnsi="Lato"/>
          <w:sz w:val="16"/>
          <w:szCs w:val="16"/>
        </w:rPr>
        <w:t xml:space="preserve"> </w:t>
      </w:r>
    </w:p>
  </w:endnote>
  <w:endnote w:id="9">
    <w:p w14:paraId="4A4306D5" w14:textId="09DB4F84" w:rsidR="00FE3B56" w:rsidRDefault="00FE3B56" w:rsidP="0069631F">
      <w:pPr>
        <w:pStyle w:val="Endnote-H4"/>
        <w:spacing w:after="0"/>
      </w:pPr>
      <w:r>
        <w:rPr>
          <w:rStyle w:val="EndnoteReference"/>
        </w:rPr>
        <w:endnoteRef/>
      </w:r>
      <w:r>
        <w:t xml:space="preserve"> </w:t>
      </w:r>
      <w:r w:rsidR="005D392A" w:rsidRPr="005D392A">
        <w:rPr>
          <w:b w:val="0"/>
          <w:bCs w:val="0"/>
          <w:lang w:val="fr-CA"/>
        </w:rPr>
        <w:t>Revue des systèmes : Évaluer les risques associés aux problèmes courants et importants</w:t>
      </w:r>
      <w:r w:rsidR="002F1A4A">
        <w:rPr>
          <w:b w:val="0"/>
          <w:bCs w:val="0"/>
        </w:rPr>
        <w:t>.</w:t>
      </w:r>
      <w:r>
        <w:t xml:space="preserve"> </w:t>
      </w:r>
    </w:p>
    <w:p w14:paraId="30E068B2" w14:textId="276AE369" w:rsidR="00FE3B56" w:rsidRPr="008953EF" w:rsidRDefault="005D392A" w:rsidP="00B43695">
      <w:pPr>
        <w:pStyle w:val="Endnote-Context"/>
        <w:rPr>
          <w:rFonts w:ascii="Lato" w:hAnsi="Lato"/>
          <w:sz w:val="16"/>
          <w:szCs w:val="16"/>
        </w:rPr>
      </w:pPr>
      <w:r w:rsidRPr="008953EF">
        <w:rPr>
          <w:rFonts w:ascii="Lato" w:hAnsi="Lato"/>
          <w:sz w:val="16"/>
          <w:szCs w:val="16"/>
          <w:lang w:val="fr-CA"/>
        </w:rPr>
        <w:t>Les patients ayant des DID ne rapportent pas nécessairement les symptômes de la même manière que les patients sans DID, p.ex., la maladie peut se manifester par des changements de comportement. Recueillir les antécédents médicaux à l'aide de questionnaires destinés aux patients, avec la contribution des aidants et l'aide du personnel peut fournir le moment et le contexte nécessaires pour faciliter la communication. D'autres stratégies pourraient consister à faire une revue des systèmes de manière approfondie et réfléchir de manière générale aux différentes façons dont les maladies courantes ou importantes se manifestent. Les éléments ci-dessous ont été sélectionnés en tenant compte de ces principes. Les notes jointes à chaque item incluent des questions relatives à la revue des systèmes, mais mettent l'accent sur les adultes ayant des DID. Pour fournir un contexte à cette anamnèse, les annotations identifient également les problèmes fréquents ou importants chez les adultes ayant un DID et, à l'occasion, suggèrent des pistes d'investigation ou des considérations de prise en charge</w:t>
      </w:r>
      <w:r w:rsidR="00FE3B56" w:rsidRPr="008953EF">
        <w:rPr>
          <w:rFonts w:ascii="Lato" w:hAnsi="Lato"/>
          <w:sz w:val="16"/>
          <w:szCs w:val="16"/>
        </w:rPr>
        <w:t>.</w:t>
      </w:r>
    </w:p>
    <w:p w14:paraId="2C1D4151" w14:textId="59051495" w:rsidR="00FE3B56" w:rsidRPr="008953EF" w:rsidRDefault="005D392A" w:rsidP="0069631F">
      <w:pPr>
        <w:pStyle w:val="Endnote-H5"/>
        <w:spacing w:after="0"/>
        <w:rPr>
          <w:rFonts w:ascii="Lato" w:hAnsi="Lato"/>
          <w:sz w:val="16"/>
          <w:szCs w:val="16"/>
        </w:rPr>
      </w:pPr>
      <w:r w:rsidRPr="008953EF">
        <w:rPr>
          <w:rFonts w:ascii="Lato" w:hAnsi="Lato"/>
          <w:sz w:val="16"/>
          <w:szCs w:val="16"/>
          <w:lang w:val="fr-CA"/>
        </w:rPr>
        <w:t>OUTILS POUR LA PRATIQUE</w:t>
      </w:r>
    </w:p>
    <w:p w14:paraId="7ECAC8C9" w14:textId="204D7677" w:rsidR="00FE3B56" w:rsidRPr="008953EF" w:rsidRDefault="00000000" w:rsidP="00967ED3">
      <w:pPr>
        <w:pStyle w:val="Endnote-Link"/>
        <w:rPr>
          <w:rFonts w:ascii="Lato" w:hAnsi="Lato"/>
          <w:sz w:val="16"/>
          <w:szCs w:val="16"/>
        </w:rPr>
      </w:pPr>
      <w:hyperlink r:id="rId11" w:history="1">
        <w:r w:rsidR="005D392A" w:rsidRPr="008953EF">
          <w:rPr>
            <w:rStyle w:val="Hyperlink"/>
            <w:rFonts w:ascii="Lato" w:hAnsi="Lato"/>
            <w:sz w:val="16"/>
            <w:szCs w:val="16"/>
            <w:lang w:val="fr-CA"/>
          </w:rPr>
          <w:t>Mon rendez-vous médical</w:t>
        </w:r>
      </w:hyperlink>
      <w:r w:rsidR="009A58D1" w:rsidRPr="008953EF">
        <w:rPr>
          <w:rStyle w:val="Hyperlink"/>
          <w:rFonts w:ascii="Lato" w:hAnsi="Lato"/>
          <w:sz w:val="16"/>
          <w:szCs w:val="16"/>
          <w:lang w:val="en-US"/>
        </w:rPr>
        <w:t xml:space="preserve">. </w:t>
      </w:r>
      <w:r w:rsidR="005D392A" w:rsidRPr="008953EF">
        <w:rPr>
          <w:rFonts w:ascii="Lato" w:hAnsi="Lato"/>
          <w:sz w:val="16"/>
          <w:szCs w:val="16"/>
          <w:lang w:val="fr-CA"/>
        </w:rPr>
        <w:t>Ce formulaire est utile avant toute visite médicale, y compris celles prévues dans le cadre de l'Examen de santé. La première partie de ‘Mon rendez-vous médical’ doit être remplie à l'avance et permet d'identifier le motif de la visite et les symptômes récents du point de vue du patient. Les deuxième et troisième partie du formulaire doivent être remplies lors de la visite avec le prestataire de soins de santé afin de favoriser la compréhension du contenu et des résultats de la visite</w:t>
      </w:r>
      <w:r w:rsidR="00FE3B56" w:rsidRPr="008953EF">
        <w:rPr>
          <w:rFonts w:ascii="Lato" w:hAnsi="Lato"/>
          <w:sz w:val="16"/>
          <w:szCs w:val="16"/>
        </w:rPr>
        <w:t>.</w:t>
      </w:r>
    </w:p>
  </w:endnote>
  <w:endnote w:id="10">
    <w:p w14:paraId="60785E4F" w14:textId="0ED73837" w:rsidR="003640B4" w:rsidRDefault="003640B4" w:rsidP="0069631F">
      <w:pPr>
        <w:pStyle w:val="Endnote-H4"/>
        <w:spacing w:after="0"/>
      </w:pPr>
      <w:r>
        <w:rPr>
          <w:rStyle w:val="EndnoteReference"/>
        </w:rPr>
        <w:endnoteRef/>
      </w:r>
      <w:r>
        <w:t xml:space="preserve"> </w:t>
      </w:r>
      <w:r w:rsidR="005D392A" w:rsidRPr="005D392A">
        <w:t>Alimentation, nutrition</w:t>
      </w:r>
    </w:p>
    <w:p w14:paraId="0711ECC6" w14:textId="009C4C38" w:rsidR="003640B4" w:rsidRPr="008953EF" w:rsidRDefault="005D392A" w:rsidP="00732486">
      <w:pPr>
        <w:pStyle w:val="Endnote-Bullet-L1"/>
        <w:spacing w:after="0"/>
        <w:rPr>
          <w:rFonts w:ascii="Lato" w:hAnsi="Lato"/>
          <w:sz w:val="16"/>
          <w:szCs w:val="16"/>
        </w:rPr>
      </w:pPr>
      <w:r w:rsidRPr="008953EF">
        <w:rPr>
          <w:rFonts w:ascii="Lato" w:hAnsi="Lato"/>
          <w:sz w:val="16"/>
          <w:szCs w:val="16"/>
          <w:lang w:val="fr-CA"/>
        </w:rPr>
        <w:t>Poids anormal ou tendances anormale</w:t>
      </w:r>
      <w:r w:rsidR="003640B4" w:rsidRPr="008953EF">
        <w:rPr>
          <w:rFonts w:ascii="Lato" w:hAnsi="Lato"/>
          <w:sz w:val="16"/>
          <w:szCs w:val="16"/>
        </w:rPr>
        <w:t xml:space="preserve">s </w:t>
      </w:r>
    </w:p>
    <w:p w14:paraId="55B52751" w14:textId="029F9245" w:rsidR="003640B4" w:rsidRPr="008953EF" w:rsidRDefault="005D392A" w:rsidP="00732486">
      <w:pPr>
        <w:pStyle w:val="Endnote-Bullet-L1"/>
        <w:spacing w:after="0"/>
        <w:rPr>
          <w:rFonts w:ascii="Lato" w:hAnsi="Lato"/>
          <w:sz w:val="16"/>
          <w:szCs w:val="16"/>
        </w:rPr>
      </w:pPr>
      <w:r w:rsidRPr="008953EF">
        <w:rPr>
          <w:rFonts w:ascii="Lato" w:hAnsi="Lato"/>
          <w:sz w:val="16"/>
          <w:szCs w:val="16"/>
          <w:lang w:val="fr-CA"/>
        </w:rPr>
        <w:t>Difficultés à manger/à se nourrir</w:t>
      </w:r>
    </w:p>
    <w:p w14:paraId="21B241E4" w14:textId="1CB72634" w:rsidR="003640B4" w:rsidRPr="008953EF" w:rsidRDefault="005D392A" w:rsidP="00732486">
      <w:pPr>
        <w:pStyle w:val="Endnote-Bullet-L1"/>
        <w:spacing w:after="0"/>
        <w:rPr>
          <w:rFonts w:ascii="Lato" w:hAnsi="Lato"/>
          <w:sz w:val="16"/>
          <w:szCs w:val="16"/>
        </w:rPr>
      </w:pPr>
      <w:r w:rsidRPr="008953EF">
        <w:rPr>
          <w:rFonts w:ascii="Lato" w:hAnsi="Lato"/>
          <w:sz w:val="16"/>
          <w:szCs w:val="16"/>
          <w:lang w:val="fr-CA"/>
        </w:rPr>
        <w:t>Habitudes alimentaires sélectives</w:t>
      </w:r>
    </w:p>
    <w:p w14:paraId="4E969E25" w14:textId="739D5351" w:rsidR="003640B4" w:rsidRPr="008953EF" w:rsidRDefault="005D392A" w:rsidP="00732486">
      <w:pPr>
        <w:pStyle w:val="Endnote-Bullet-L1"/>
        <w:spacing w:after="0"/>
        <w:rPr>
          <w:rFonts w:ascii="Lato" w:hAnsi="Lato"/>
          <w:sz w:val="16"/>
          <w:szCs w:val="16"/>
        </w:rPr>
      </w:pPr>
      <w:r w:rsidRPr="008953EF">
        <w:rPr>
          <w:rFonts w:ascii="Lato" w:hAnsi="Lato"/>
          <w:sz w:val="16"/>
          <w:szCs w:val="16"/>
          <w:lang w:val="fr-CA"/>
        </w:rPr>
        <w:t>Tout facteur de risque d'obésité modifiable tel que médicaments, obstacles environnementaux ou sociaux à une alimentation optimale</w:t>
      </w:r>
    </w:p>
    <w:p w14:paraId="033DD4E0" w14:textId="5104E81D" w:rsidR="003640B4" w:rsidRPr="008953EF" w:rsidRDefault="005D392A" w:rsidP="00732486">
      <w:pPr>
        <w:pStyle w:val="Endnote-Bullet-L1"/>
        <w:spacing w:after="0"/>
        <w:rPr>
          <w:rFonts w:ascii="Lato" w:hAnsi="Lato"/>
          <w:sz w:val="16"/>
          <w:szCs w:val="16"/>
        </w:rPr>
      </w:pPr>
      <w:r w:rsidRPr="008953EF">
        <w:rPr>
          <w:rFonts w:ascii="Lato" w:hAnsi="Lato"/>
          <w:sz w:val="16"/>
          <w:szCs w:val="16"/>
          <w:lang w:val="fr-CA"/>
        </w:rPr>
        <w:t>Carences nutritionnelles potentielles</w:t>
      </w:r>
    </w:p>
    <w:p w14:paraId="761C4A45" w14:textId="74199C18" w:rsidR="003640B4" w:rsidRPr="008953EF" w:rsidRDefault="005D392A" w:rsidP="00732486">
      <w:pPr>
        <w:pStyle w:val="Endnote-Bullet-L1"/>
        <w:spacing w:after="0"/>
        <w:rPr>
          <w:rFonts w:ascii="Lato" w:hAnsi="Lato"/>
          <w:sz w:val="16"/>
          <w:szCs w:val="16"/>
        </w:rPr>
      </w:pPr>
      <w:r w:rsidRPr="008953EF">
        <w:rPr>
          <w:rFonts w:ascii="Lato" w:hAnsi="Lato"/>
          <w:sz w:val="16"/>
          <w:szCs w:val="16"/>
          <w:lang w:val="fr-CA"/>
        </w:rPr>
        <w:t>Défis sensoriels</w:t>
      </w:r>
    </w:p>
    <w:p w14:paraId="365A426A" w14:textId="156C3802" w:rsidR="003640B4" w:rsidRPr="008953EF" w:rsidRDefault="003640B4" w:rsidP="0069631F">
      <w:pPr>
        <w:pStyle w:val="Endnote-Bullet-L1"/>
        <w:spacing w:after="0"/>
        <w:rPr>
          <w:rFonts w:ascii="Lato" w:hAnsi="Lato"/>
          <w:sz w:val="16"/>
          <w:szCs w:val="16"/>
        </w:rPr>
      </w:pPr>
      <w:r w:rsidRPr="008953EF">
        <w:rPr>
          <w:rFonts w:ascii="Lato" w:hAnsi="Lato"/>
          <w:sz w:val="16"/>
          <w:szCs w:val="16"/>
        </w:rPr>
        <w:t>Pica</w:t>
      </w:r>
    </w:p>
    <w:p w14:paraId="235C771F" w14:textId="7C5A1314" w:rsidR="003640B4" w:rsidRPr="008953EF" w:rsidRDefault="005D392A" w:rsidP="00A05F23">
      <w:pPr>
        <w:pStyle w:val="Endnote-Context"/>
        <w:rPr>
          <w:rFonts w:ascii="Lato" w:hAnsi="Lato"/>
          <w:sz w:val="16"/>
          <w:szCs w:val="16"/>
        </w:rPr>
      </w:pPr>
      <w:r w:rsidRPr="008953EF">
        <w:rPr>
          <w:rFonts w:ascii="Lato" w:hAnsi="Lato"/>
          <w:sz w:val="16"/>
          <w:szCs w:val="16"/>
          <w:lang w:val="fr-CA"/>
        </w:rPr>
        <w:t>L'obésité est fréquente chez les adultes ayant des DID. Le tour de taille ou le ratio taille-hanche peuvent être utilisés chez les personnes difficiles à peser</w:t>
      </w:r>
      <w:r w:rsidR="003640B4" w:rsidRPr="008953EF">
        <w:rPr>
          <w:rFonts w:ascii="Lato" w:hAnsi="Lato"/>
          <w:sz w:val="16"/>
          <w:szCs w:val="16"/>
        </w:rPr>
        <w:t xml:space="preserve">. </w:t>
      </w:r>
      <w:r w:rsidRPr="008953EF">
        <w:rPr>
          <w:rFonts w:ascii="Lato" w:hAnsi="Lato"/>
          <w:sz w:val="16"/>
          <w:szCs w:val="16"/>
          <w:lang w:val="fr-CA"/>
        </w:rPr>
        <w:t>Conseillez les patients et leurs aidants sur les objectifs à atteindre pour un régime alimentaire et un niveau d'activité physique optimaux en utilisant les directives générales de la population en fonction de l’âge. Conseillez les patients sur les changements possibles à apporter à leur routine quotidienne afin d'atteindre ces objectifs</w:t>
      </w:r>
      <w:r w:rsidR="003640B4" w:rsidRPr="008953EF">
        <w:rPr>
          <w:rFonts w:ascii="Lato" w:hAnsi="Lato"/>
          <w:sz w:val="16"/>
          <w:szCs w:val="16"/>
        </w:rPr>
        <w:t>.</w:t>
      </w:r>
      <w:r w:rsidRPr="008953EF">
        <w:rPr>
          <w:rFonts w:ascii="Lato" w:hAnsi="Lato" w:cstheme="minorHAnsi"/>
          <w:color w:val="000000"/>
          <w:sz w:val="16"/>
          <w:szCs w:val="16"/>
          <w:lang w:val="fr-CA"/>
        </w:rPr>
        <w:t xml:space="preserve"> </w:t>
      </w:r>
      <w:r w:rsidRPr="008953EF">
        <w:rPr>
          <w:rFonts w:ascii="Lato" w:hAnsi="Lato"/>
          <w:sz w:val="16"/>
          <w:szCs w:val="16"/>
          <w:lang w:val="fr-CA"/>
        </w:rPr>
        <w:t>Discutez des facteurs de risque modifiables de l’obésité, comme les médicaments, ainsi que des obstacles sociaux et environnementaux à une diète optimale. Pour toute personne qui n’atteint pas les objectifs nutritionnels, faire appel aux ressources interprofessionnelles de promotion de la santé (p. ex., diététiciens, personnel de soutien).</w:t>
      </w:r>
    </w:p>
    <w:p w14:paraId="2D52A44C" w14:textId="00495FD4" w:rsidR="003640B4" w:rsidRPr="008953EF" w:rsidRDefault="005551B3" w:rsidP="0069631F">
      <w:pPr>
        <w:pStyle w:val="Endnote-H5"/>
        <w:spacing w:after="0"/>
        <w:rPr>
          <w:rFonts w:ascii="Lato" w:hAnsi="Lato"/>
          <w:sz w:val="16"/>
          <w:szCs w:val="16"/>
        </w:rPr>
      </w:pPr>
      <w:r w:rsidRPr="008953EF">
        <w:rPr>
          <w:rFonts w:ascii="Lato" w:hAnsi="Lato"/>
          <w:sz w:val="16"/>
          <w:szCs w:val="16"/>
          <w:lang w:val="fr-CA"/>
        </w:rPr>
        <w:t>OUTILS POUR LA PRATIQUE</w:t>
      </w:r>
      <w:r w:rsidR="003640B4" w:rsidRPr="008953EF">
        <w:rPr>
          <w:rFonts w:ascii="Lato" w:hAnsi="Lato"/>
          <w:sz w:val="16"/>
          <w:szCs w:val="16"/>
        </w:rPr>
        <w:t xml:space="preserve"> </w:t>
      </w:r>
    </w:p>
    <w:p w14:paraId="5675CEC0" w14:textId="101BF6AC" w:rsidR="003640B4" w:rsidRPr="008953EF" w:rsidRDefault="00000000" w:rsidP="0069631F">
      <w:pPr>
        <w:pStyle w:val="Endnote-Link"/>
        <w:spacing w:after="0"/>
        <w:rPr>
          <w:rFonts w:ascii="Lato" w:hAnsi="Lato"/>
          <w:sz w:val="16"/>
          <w:szCs w:val="16"/>
        </w:rPr>
      </w:pPr>
      <w:hyperlink r:id="rId12" w:history="1">
        <w:r w:rsidR="005551B3" w:rsidRPr="008953EF">
          <w:rPr>
            <w:rStyle w:val="Hyperlink"/>
            <w:rFonts w:ascii="Lato" w:hAnsi="Lato"/>
            <w:sz w:val="16"/>
            <w:szCs w:val="16"/>
            <w:lang w:val="fr-CA"/>
          </w:rPr>
          <w:t>Tableau de surveillance : Poids (adultes)</w:t>
        </w:r>
        <w:r w:rsidR="005551B3" w:rsidRPr="008953EF">
          <w:rPr>
            <w:rStyle w:val="Hyperlink"/>
            <w:rFonts w:ascii="Lato" w:hAnsi="Lato"/>
            <w:sz w:val="16"/>
            <w:szCs w:val="16"/>
            <w:lang w:val="en-US"/>
          </w:rPr>
          <w:t xml:space="preserve"> </w:t>
        </w:r>
      </w:hyperlink>
    </w:p>
    <w:p w14:paraId="00897F1C" w14:textId="322E1A00" w:rsidR="003640B4" w:rsidRPr="008953EF" w:rsidRDefault="00000000" w:rsidP="0069631F">
      <w:pPr>
        <w:pStyle w:val="Endnote-Link"/>
        <w:spacing w:after="0"/>
        <w:rPr>
          <w:rFonts w:ascii="Lato" w:hAnsi="Lato"/>
          <w:sz w:val="16"/>
          <w:szCs w:val="16"/>
        </w:rPr>
      </w:pPr>
      <w:hyperlink r:id="rId13" w:history="1">
        <w:r w:rsidR="005551B3" w:rsidRPr="008953EF">
          <w:rPr>
            <w:rStyle w:val="Hyperlink"/>
            <w:rFonts w:ascii="Lato" w:hAnsi="Lato"/>
            <w:sz w:val="16"/>
            <w:szCs w:val="16"/>
            <w:lang w:val="fr-CA"/>
          </w:rPr>
          <w:t>Tableau de surveillance : Journal alimentaire (hebdomadaire</w:t>
        </w:r>
        <w:r w:rsidR="003640B4" w:rsidRPr="008953EF">
          <w:rPr>
            <w:rStyle w:val="Hyperlink"/>
            <w:rFonts w:ascii="Lato" w:hAnsi="Lato"/>
            <w:sz w:val="16"/>
            <w:szCs w:val="16"/>
          </w:rPr>
          <w:t>)</w:t>
        </w:r>
      </w:hyperlink>
    </w:p>
    <w:p w14:paraId="5F0B54C3" w14:textId="3FFE46EE" w:rsidR="003640B4" w:rsidRDefault="00000000" w:rsidP="00A14424">
      <w:pPr>
        <w:pStyle w:val="Endnote-Link"/>
      </w:pPr>
      <w:hyperlink r:id="rId14" w:history="1">
        <w:r w:rsidR="005551B3" w:rsidRPr="008953EF">
          <w:rPr>
            <w:rStyle w:val="Hyperlink"/>
            <w:rFonts w:ascii="Lato" w:hAnsi="Lato"/>
            <w:sz w:val="16"/>
            <w:szCs w:val="16"/>
            <w:lang w:val="fr-CA"/>
          </w:rPr>
          <w:t>Tableau de surveillance : Journal alimentaire (quotidien</w:t>
        </w:r>
        <w:r w:rsidR="003640B4" w:rsidRPr="008953EF">
          <w:rPr>
            <w:rStyle w:val="Hyperlink"/>
            <w:rFonts w:ascii="Lato" w:hAnsi="Lato"/>
            <w:sz w:val="16"/>
            <w:szCs w:val="16"/>
          </w:rPr>
          <w:t>)</w:t>
        </w:r>
      </w:hyperlink>
    </w:p>
  </w:endnote>
  <w:endnote w:id="11">
    <w:p w14:paraId="656B302F" w14:textId="3FEDA4FB" w:rsidR="003640B4" w:rsidRDefault="003640B4" w:rsidP="0069631F">
      <w:pPr>
        <w:pStyle w:val="Endnote-H4"/>
        <w:spacing w:after="0"/>
      </w:pPr>
      <w:r>
        <w:rPr>
          <w:rStyle w:val="EndnoteReference"/>
        </w:rPr>
        <w:endnoteRef/>
      </w:r>
      <w:r>
        <w:t xml:space="preserve"> </w:t>
      </w:r>
      <w:proofErr w:type="spellStart"/>
      <w:r w:rsidR="005551B3" w:rsidRPr="005551B3">
        <w:t>Activité</w:t>
      </w:r>
      <w:proofErr w:type="spellEnd"/>
      <w:r w:rsidR="005551B3" w:rsidRPr="005551B3">
        <w:t xml:space="preserve"> physique</w:t>
      </w:r>
    </w:p>
    <w:p w14:paraId="01744A30" w14:textId="7289E90A" w:rsidR="00E13DB4" w:rsidRPr="008953EF" w:rsidRDefault="005551B3" w:rsidP="00732486">
      <w:pPr>
        <w:pStyle w:val="Endnote-Bullet-L1"/>
        <w:spacing w:after="0"/>
        <w:rPr>
          <w:rFonts w:ascii="Lato" w:hAnsi="Lato"/>
          <w:sz w:val="16"/>
          <w:szCs w:val="16"/>
        </w:rPr>
      </w:pPr>
      <w:r w:rsidRPr="008953EF">
        <w:rPr>
          <w:rFonts w:ascii="Lato" w:hAnsi="Lato"/>
          <w:sz w:val="16"/>
          <w:szCs w:val="16"/>
          <w:lang w:val="fr-CA"/>
        </w:rPr>
        <w:t>Discutez des facteurs de risque modifiables, comme les obstacles environnementaux et sociaux à l’activité physique</w:t>
      </w:r>
      <w:r w:rsidR="00104177" w:rsidRPr="008953EF">
        <w:rPr>
          <w:rFonts w:ascii="Lato" w:hAnsi="Lato"/>
          <w:sz w:val="16"/>
          <w:szCs w:val="16"/>
        </w:rPr>
        <w:t>.</w:t>
      </w:r>
    </w:p>
    <w:p w14:paraId="654ED5D2" w14:textId="063F6744" w:rsidR="00E13DB4" w:rsidRPr="008953EF" w:rsidRDefault="005551B3" w:rsidP="0069631F">
      <w:pPr>
        <w:pStyle w:val="Endnote-Bullet-L1"/>
        <w:spacing w:after="0"/>
        <w:rPr>
          <w:rFonts w:ascii="Lato" w:hAnsi="Lato"/>
          <w:sz w:val="16"/>
          <w:szCs w:val="16"/>
        </w:rPr>
      </w:pPr>
      <w:r w:rsidRPr="008953EF">
        <w:rPr>
          <w:rFonts w:ascii="Lato" w:hAnsi="Lato"/>
          <w:sz w:val="16"/>
          <w:szCs w:val="16"/>
          <w:lang w:val="fr-CA"/>
        </w:rPr>
        <w:t xml:space="preserve">Dirigez les patients vers des programmes communautaires adaptés aux personnes ayant des DID (p. ex. </w:t>
      </w:r>
      <w:proofErr w:type="spellStart"/>
      <w:r w:rsidRPr="008953EF">
        <w:rPr>
          <w:rFonts w:ascii="Lato" w:hAnsi="Lato"/>
          <w:sz w:val="16"/>
          <w:szCs w:val="16"/>
          <w:lang w:val="fr-CA"/>
        </w:rPr>
        <w:t>Special</w:t>
      </w:r>
      <w:proofErr w:type="spellEnd"/>
      <w:r w:rsidRPr="008953EF">
        <w:rPr>
          <w:rFonts w:ascii="Lato" w:hAnsi="Lato"/>
          <w:sz w:val="16"/>
          <w:szCs w:val="16"/>
          <w:lang w:val="fr-CA"/>
        </w:rPr>
        <w:t xml:space="preserve"> </w:t>
      </w:r>
      <w:proofErr w:type="spellStart"/>
      <w:r w:rsidRPr="008953EF">
        <w:rPr>
          <w:rFonts w:ascii="Lato" w:hAnsi="Lato"/>
          <w:sz w:val="16"/>
          <w:szCs w:val="16"/>
          <w:lang w:val="fr-CA"/>
        </w:rPr>
        <w:t>Olympics</w:t>
      </w:r>
      <w:proofErr w:type="spellEnd"/>
      <w:r w:rsidR="00E13DB4" w:rsidRPr="008953EF">
        <w:rPr>
          <w:rFonts w:ascii="Lato" w:hAnsi="Lato"/>
          <w:sz w:val="16"/>
          <w:szCs w:val="16"/>
        </w:rPr>
        <w:t>)</w:t>
      </w:r>
      <w:r w:rsidR="00104177" w:rsidRPr="008953EF">
        <w:rPr>
          <w:rFonts w:ascii="Lato" w:hAnsi="Lato"/>
          <w:sz w:val="16"/>
          <w:szCs w:val="16"/>
        </w:rPr>
        <w:t>.</w:t>
      </w:r>
    </w:p>
    <w:p w14:paraId="21253BA8" w14:textId="16E97FC0" w:rsidR="003640B4" w:rsidRPr="008953EF" w:rsidRDefault="005551B3" w:rsidP="00044BD4">
      <w:pPr>
        <w:pStyle w:val="Endnote-Context"/>
        <w:rPr>
          <w:rFonts w:ascii="Lato" w:hAnsi="Lato"/>
          <w:sz w:val="16"/>
          <w:szCs w:val="16"/>
        </w:rPr>
      </w:pPr>
      <w:r w:rsidRPr="008953EF">
        <w:rPr>
          <w:rFonts w:ascii="Lato" w:hAnsi="Lato"/>
          <w:sz w:val="16"/>
          <w:szCs w:val="16"/>
          <w:lang w:val="fr-CA"/>
        </w:rPr>
        <w:t>La sédentarité est prédominante chez les patients ayant des DID</w:t>
      </w:r>
      <w:r w:rsidR="00044BD4" w:rsidRPr="008953EF">
        <w:rPr>
          <w:rFonts w:ascii="Lato" w:hAnsi="Lato"/>
          <w:sz w:val="16"/>
          <w:szCs w:val="16"/>
        </w:rPr>
        <w:t xml:space="preserve">. </w:t>
      </w:r>
    </w:p>
  </w:endnote>
  <w:endnote w:id="12">
    <w:p w14:paraId="14F49952" w14:textId="77777777" w:rsidR="00B061E0" w:rsidRDefault="00B061E0" w:rsidP="0069631F">
      <w:pPr>
        <w:pStyle w:val="Endnote-H4"/>
        <w:spacing w:after="0"/>
      </w:pPr>
    </w:p>
    <w:p w14:paraId="2143EF24" w14:textId="77777777" w:rsidR="00B71D77" w:rsidRDefault="00B71D77" w:rsidP="0069631F">
      <w:pPr>
        <w:pStyle w:val="Endnote-H4"/>
        <w:spacing w:after="0"/>
      </w:pPr>
    </w:p>
    <w:p w14:paraId="23B588CF" w14:textId="61AF163A" w:rsidR="003640B4" w:rsidRDefault="003640B4" w:rsidP="0069631F">
      <w:pPr>
        <w:pStyle w:val="Endnote-H4"/>
        <w:spacing w:after="0"/>
      </w:pPr>
      <w:r>
        <w:rPr>
          <w:rStyle w:val="EndnoteReference"/>
        </w:rPr>
        <w:endnoteRef/>
      </w:r>
      <w:r>
        <w:t xml:space="preserve"> </w:t>
      </w:r>
      <w:r w:rsidR="005551B3" w:rsidRPr="005551B3">
        <w:rPr>
          <w:lang w:val="fr-CA"/>
        </w:rPr>
        <w:t>Tabagisme, consommation d’alcool, drogues</w:t>
      </w:r>
      <w:r>
        <w:t xml:space="preserve"> </w:t>
      </w:r>
    </w:p>
    <w:p w14:paraId="6AF07F0F" w14:textId="64E24172" w:rsidR="00CD5908" w:rsidRPr="008953EF" w:rsidRDefault="005551B3" w:rsidP="0069631F">
      <w:pPr>
        <w:pStyle w:val="Endnote-Bullet-L1"/>
        <w:spacing w:after="0"/>
        <w:rPr>
          <w:rFonts w:ascii="Lato" w:hAnsi="Lato"/>
          <w:sz w:val="16"/>
          <w:szCs w:val="16"/>
        </w:rPr>
      </w:pPr>
      <w:r w:rsidRPr="008953EF">
        <w:rPr>
          <w:rFonts w:ascii="Lato" w:hAnsi="Lato"/>
          <w:sz w:val="16"/>
          <w:szCs w:val="16"/>
          <w:lang w:val="fr-CA"/>
        </w:rPr>
        <w:t>Dépistez les dépendance</w:t>
      </w:r>
      <w:r w:rsidR="003640B4" w:rsidRPr="008953EF">
        <w:rPr>
          <w:rFonts w:ascii="Lato" w:hAnsi="Lato"/>
          <w:sz w:val="16"/>
          <w:szCs w:val="16"/>
        </w:rPr>
        <w:t>s</w:t>
      </w:r>
    </w:p>
    <w:p w14:paraId="08665E94" w14:textId="16114183" w:rsidR="003640B4" w:rsidRPr="008953EF" w:rsidRDefault="005551B3" w:rsidP="00CF7653">
      <w:pPr>
        <w:pStyle w:val="Endnote-Context"/>
        <w:rPr>
          <w:rFonts w:ascii="Lato" w:hAnsi="Lato"/>
          <w:sz w:val="16"/>
          <w:szCs w:val="16"/>
        </w:rPr>
      </w:pPr>
      <w:r w:rsidRPr="008953EF">
        <w:rPr>
          <w:rFonts w:ascii="Lato" w:hAnsi="Lato"/>
          <w:sz w:val="16"/>
          <w:szCs w:val="16"/>
          <w:lang w:val="fr-CA"/>
        </w:rPr>
        <w:t>Un risque plus élevé de dépendance est associé aux DID légères, aux personnes vivant seules, aux hommes, aux personnes ayant des troubles psychiatriques et à celles ayant des problèmes juridiques</w:t>
      </w:r>
      <w:r w:rsidR="003640B4" w:rsidRPr="008953EF">
        <w:rPr>
          <w:rFonts w:ascii="Lato" w:hAnsi="Lato"/>
          <w:sz w:val="16"/>
          <w:szCs w:val="16"/>
        </w:rPr>
        <w:t xml:space="preserve">. </w:t>
      </w:r>
    </w:p>
  </w:endnote>
  <w:endnote w:id="13">
    <w:p w14:paraId="72E1FC33" w14:textId="2940870A" w:rsidR="003640B4" w:rsidRDefault="003640B4" w:rsidP="0069631F">
      <w:pPr>
        <w:pStyle w:val="Endnote-H4"/>
        <w:spacing w:after="0"/>
      </w:pPr>
      <w:r>
        <w:rPr>
          <w:rStyle w:val="EndnoteReference"/>
        </w:rPr>
        <w:endnoteRef/>
      </w:r>
      <w:r>
        <w:t xml:space="preserve"> </w:t>
      </w:r>
      <w:proofErr w:type="spellStart"/>
      <w:r w:rsidR="005551B3" w:rsidRPr="005551B3">
        <w:t>Sécurité</w:t>
      </w:r>
      <w:proofErr w:type="spellEnd"/>
      <w:r>
        <w:t xml:space="preserve"> </w:t>
      </w:r>
    </w:p>
    <w:p w14:paraId="060CD28F" w14:textId="3597D9CD" w:rsidR="005551B3" w:rsidRPr="008953EF" w:rsidRDefault="005551B3" w:rsidP="00732486">
      <w:pPr>
        <w:pStyle w:val="Endnote-Bullet-L1"/>
        <w:spacing w:after="0"/>
        <w:rPr>
          <w:rFonts w:ascii="Lato" w:hAnsi="Lato"/>
          <w:sz w:val="16"/>
          <w:szCs w:val="16"/>
        </w:rPr>
      </w:pPr>
      <w:r w:rsidRPr="008953EF">
        <w:rPr>
          <w:rFonts w:ascii="Lato" w:hAnsi="Lato"/>
          <w:sz w:val="16"/>
          <w:szCs w:val="16"/>
          <w:lang w:val="fr-CA"/>
        </w:rPr>
        <w:t>Considérez les risques pour la personne (p. ex., un adulte ayant une déficience intellectuelle qui fait du vélo ou qui a une propension au pica).</w:t>
      </w:r>
      <w:r w:rsidRPr="008953EF">
        <w:rPr>
          <w:rFonts w:ascii="Lato" w:hAnsi="Lato"/>
          <w:sz w:val="16"/>
          <w:szCs w:val="16"/>
        </w:rPr>
        <w:t xml:space="preserve"> </w:t>
      </w:r>
    </w:p>
    <w:p w14:paraId="2B143C3C" w14:textId="383700DD" w:rsidR="003640B4" w:rsidRPr="008953EF" w:rsidRDefault="005551B3" w:rsidP="001A51DF">
      <w:pPr>
        <w:pStyle w:val="Endnote-Bullet-L1"/>
        <w:rPr>
          <w:rFonts w:ascii="Lato" w:hAnsi="Lato"/>
          <w:sz w:val="16"/>
          <w:szCs w:val="16"/>
        </w:rPr>
      </w:pPr>
      <w:r w:rsidRPr="008953EF">
        <w:rPr>
          <w:rFonts w:ascii="Lato" w:hAnsi="Lato"/>
          <w:sz w:val="16"/>
          <w:szCs w:val="16"/>
          <w:lang w:val="fr-CA"/>
        </w:rPr>
        <w:t xml:space="preserve">Prenez également en considération le stress </w:t>
      </w:r>
      <w:proofErr w:type="gramStart"/>
      <w:r w:rsidRPr="008953EF">
        <w:rPr>
          <w:rFonts w:ascii="Lato" w:hAnsi="Lato"/>
          <w:sz w:val="16"/>
          <w:szCs w:val="16"/>
          <w:lang w:val="fr-CA"/>
        </w:rPr>
        <w:t>des  aidants</w:t>
      </w:r>
      <w:proofErr w:type="gramEnd"/>
      <w:r w:rsidR="003640B4" w:rsidRPr="008953EF">
        <w:rPr>
          <w:rFonts w:ascii="Lato" w:hAnsi="Lato"/>
          <w:sz w:val="16"/>
          <w:szCs w:val="16"/>
        </w:rPr>
        <w:t>.</w:t>
      </w:r>
    </w:p>
  </w:endnote>
  <w:endnote w:id="14">
    <w:p w14:paraId="3378E091" w14:textId="4C700E0D" w:rsidR="003640B4" w:rsidRDefault="003640B4" w:rsidP="0069631F">
      <w:pPr>
        <w:pStyle w:val="Endnote-H4"/>
        <w:spacing w:after="0"/>
      </w:pPr>
      <w:r>
        <w:rPr>
          <w:rStyle w:val="EndnoteReference"/>
        </w:rPr>
        <w:endnoteRef/>
      </w:r>
      <w:r>
        <w:t xml:space="preserve"> </w:t>
      </w:r>
      <w:proofErr w:type="spellStart"/>
      <w:r w:rsidR="005551B3" w:rsidRPr="005551B3">
        <w:t>Sommeil</w:t>
      </w:r>
      <w:proofErr w:type="spellEnd"/>
      <w:r>
        <w:t xml:space="preserve"> </w:t>
      </w:r>
    </w:p>
    <w:p w14:paraId="3F4BDEF0" w14:textId="78D13142" w:rsidR="003640B4" w:rsidRPr="008953EF" w:rsidRDefault="005551B3" w:rsidP="00732486">
      <w:pPr>
        <w:pStyle w:val="Endnote-Bullet-L1"/>
        <w:spacing w:after="0"/>
        <w:rPr>
          <w:rFonts w:ascii="Lato" w:hAnsi="Lato"/>
          <w:sz w:val="16"/>
          <w:szCs w:val="16"/>
        </w:rPr>
      </w:pPr>
      <w:r w:rsidRPr="008953EF">
        <w:rPr>
          <w:rFonts w:ascii="Lato" w:hAnsi="Lato"/>
          <w:sz w:val="16"/>
          <w:szCs w:val="16"/>
          <w:lang w:val="fr-CA"/>
        </w:rPr>
        <w:t>Avez-vous de la difficulté à vous endormir le soir</w:t>
      </w:r>
      <w:r w:rsidR="003640B4" w:rsidRPr="008953EF">
        <w:rPr>
          <w:rFonts w:ascii="Lato" w:hAnsi="Lato"/>
          <w:sz w:val="16"/>
          <w:szCs w:val="16"/>
        </w:rPr>
        <w:t xml:space="preserve">? </w:t>
      </w:r>
    </w:p>
    <w:p w14:paraId="5CB462DF" w14:textId="7B3D5884" w:rsidR="003640B4" w:rsidRPr="008953EF" w:rsidRDefault="005551B3" w:rsidP="00732486">
      <w:pPr>
        <w:pStyle w:val="Endnote-Bullet-L1"/>
        <w:spacing w:after="0"/>
        <w:rPr>
          <w:rFonts w:ascii="Lato" w:hAnsi="Lato"/>
          <w:sz w:val="16"/>
          <w:szCs w:val="16"/>
        </w:rPr>
      </w:pPr>
      <w:r w:rsidRPr="008953EF">
        <w:rPr>
          <w:rFonts w:ascii="Lato" w:hAnsi="Lato"/>
          <w:sz w:val="16"/>
          <w:szCs w:val="16"/>
          <w:lang w:val="fr-CA"/>
        </w:rPr>
        <w:t>Vous réveillez-vous durant la nuit</w:t>
      </w:r>
      <w:r w:rsidR="003640B4" w:rsidRPr="008953EF">
        <w:rPr>
          <w:rFonts w:ascii="Lato" w:hAnsi="Lato"/>
          <w:sz w:val="16"/>
          <w:szCs w:val="16"/>
        </w:rPr>
        <w:t xml:space="preserve">? </w:t>
      </w:r>
    </w:p>
    <w:p w14:paraId="0F41DC02" w14:textId="60167804" w:rsidR="003640B4" w:rsidRPr="008953EF" w:rsidRDefault="005551B3" w:rsidP="00732486">
      <w:pPr>
        <w:pStyle w:val="Endnote-Bullet-L1"/>
        <w:spacing w:after="0"/>
        <w:rPr>
          <w:rFonts w:ascii="Lato" w:hAnsi="Lato"/>
          <w:sz w:val="16"/>
          <w:szCs w:val="16"/>
        </w:rPr>
      </w:pPr>
      <w:r w:rsidRPr="008953EF">
        <w:rPr>
          <w:rFonts w:ascii="Lato" w:hAnsi="Lato"/>
          <w:sz w:val="16"/>
          <w:szCs w:val="16"/>
          <w:lang w:val="fr-CA"/>
        </w:rPr>
        <w:t>Vous réveillez-vous tôt le matin</w:t>
      </w:r>
      <w:r w:rsidR="003640B4" w:rsidRPr="008953EF">
        <w:rPr>
          <w:rFonts w:ascii="Lato" w:hAnsi="Lato"/>
          <w:sz w:val="16"/>
          <w:szCs w:val="16"/>
        </w:rPr>
        <w:t xml:space="preserve">? </w:t>
      </w:r>
    </w:p>
    <w:p w14:paraId="6CA1E7C7" w14:textId="43103AEA" w:rsidR="003640B4" w:rsidRPr="008953EF" w:rsidRDefault="005551B3" w:rsidP="0069631F">
      <w:pPr>
        <w:pStyle w:val="Endnote-Bullet-L1"/>
        <w:spacing w:after="0"/>
        <w:rPr>
          <w:rFonts w:ascii="Lato" w:hAnsi="Lato"/>
          <w:sz w:val="16"/>
          <w:szCs w:val="16"/>
        </w:rPr>
      </w:pPr>
      <w:r w:rsidRPr="008953EF">
        <w:rPr>
          <w:rFonts w:ascii="Lato" w:hAnsi="Lato"/>
          <w:sz w:val="16"/>
          <w:szCs w:val="16"/>
          <w:lang w:val="fr-CA"/>
        </w:rPr>
        <w:t>Êtes-vous somnolent durant la journée</w:t>
      </w:r>
      <w:r w:rsidR="003640B4" w:rsidRPr="008953EF">
        <w:rPr>
          <w:rFonts w:ascii="Lato" w:hAnsi="Lato"/>
          <w:sz w:val="16"/>
          <w:szCs w:val="16"/>
        </w:rPr>
        <w:t>?</w:t>
      </w:r>
    </w:p>
    <w:p w14:paraId="00EAFE3B" w14:textId="48DC3404" w:rsidR="003640B4" w:rsidRPr="008953EF" w:rsidRDefault="005551B3" w:rsidP="00A05F23">
      <w:pPr>
        <w:pStyle w:val="Endnote-Context"/>
        <w:rPr>
          <w:rFonts w:ascii="Lato" w:hAnsi="Lato"/>
          <w:sz w:val="16"/>
          <w:szCs w:val="16"/>
        </w:rPr>
      </w:pPr>
      <w:r w:rsidRPr="008953EF">
        <w:rPr>
          <w:rFonts w:ascii="Lato" w:hAnsi="Lato"/>
          <w:sz w:val="16"/>
          <w:szCs w:val="16"/>
          <w:lang w:val="fr-CA"/>
        </w:rPr>
        <w:t>Si un problème est identifié, examinez l’environnement de sommeil : des colocataires bruyants ou qui ronflent, des activités bruyantes telles que la lessive ou la cuisine pendant la nuit, des rideaux ou des stores inadéquats ou un éclairage à l'extérieur de la fenêtre de la chambre à coucher</w:t>
      </w:r>
      <w:r w:rsidR="003640B4" w:rsidRPr="008953EF">
        <w:rPr>
          <w:rFonts w:ascii="Lato" w:hAnsi="Lato"/>
          <w:sz w:val="16"/>
          <w:szCs w:val="16"/>
        </w:rPr>
        <w:t xml:space="preserve">. </w:t>
      </w:r>
    </w:p>
    <w:p w14:paraId="5227DC86" w14:textId="3337F2D5" w:rsidR="003640B4" w:rsidRPr="008953EF" w:rsidRDefault="005551B3" w:rsidP="00A05F23">
      <w:pPr>
        <w:pStyle w:val="Endnote-Context"/>
        <w:rPr>
          <w:rFonts w:ascii="Lato" w:hAnsi="Lato"/>
          <w:sz w:val="16"/>
          <w:szCs w:val="16"/>
        </w:rPr>
      </w:pPr>
      <w:r w:rsidRPr="008953EF">
        <w:rPr>
          <w:rFonts w:ascii="Lato" w:hAnsi="Lato"/>
          <w:sz w:val="16"/>
          <w:szCs w:val="16"/>
          <w:lang w:val="fr-CA"/>
        </w:rPr>
        <w:t xml:space="preserve">Tenez compte des problèmes de santé physique (p. ex., le reflux </w:t>
      </w:r>
      <w:proofErr w:type="spellStart"/>
      <w:r w:rsidRPr="008953EF">
        <w:rPr>
          <w:rFonts w:ascii="Lato" w:hAnsi="Lato"/>
          <w:sz w:val="16"/>
          <w:szCs w:val="16"/>
          <w:lang w:val="fr-CA"/>
        </w:rPr>
        <w:t>gastro-oesophagien</w:t>
      </w:r>
      <w:proofErr w:type="spellEnd"/>
      <w:r w:rsidRPr="008953EF">
        <w:rPr>
          <w:rFonts w:ascii="Lato" w:hAnsi="Lato"/>
          <w:sz w:val="16"/>
          <w:szCs w:val="16"/>
          <w:lang w:val="fr-CA"/>
        </w:rPr>
        <w:t xml:space="preserve"> pathologique, la douleur, l’apnée obstructive du sommeil), des médicaments (p. ex., psychotropes, antiépileptiques), des expériences de vie ou des sources de stress, des maladies psychiatriques.</w:t>
      </w:r>
      <w:r w:rsidR="003640B4" w:rsidRPr="008953EF">
        <w:rPr>
          <w:rFonts w:ascii="Lato" w:hAnsi="Lato"/>
          <w:sz w:val="16"/>
          <w:szCs w:val="16"/>
        </w:rPr>
        <w:t xml:space="preserve"> </w:t>
      </w:r>
    </w:p>
    <w:p w14:paraId="5E43D845" w14:textId="1A94F7F0" w:rsidR="003640B4" w:rsidRPr="008953EF" w:rsidRDefault="005551B3" w:rsidP="00A05F23">
      <w:pPr>
        <w:pStyle w:val="Endnote-Context"/>
        <w:rPr>
          <w:rFonts w:ascii="Lato" w:hAnsi="Lato"/>
          <w:sz w:val="16"/>
          <w:szCs w:val="16"/>
        </w:rPr>
      </w:pPr>
      <w:r w:rsidRPr="008953EF">
        <w:rPr>
          <w:rFonts w:ascii="Lato" w:hAnsi="Lato"/>
          <w:sz w:val="16"/>
          <w:szCs w:val="16"/>
          <w:lang w:val="fr-CA"/>
        </w:rPr>
        <w:t xml:space="preserve">Étudiez la possibilité d’apnée obstructive du sommeil chez les patients à risque parce que souffrant d’obésité, d’anomalies </w:t>
      </w:r>
      <w:proofErr w:type="spellStart"/>
      <w:r w:rsidRPr="008953EF">
        <w:rPr>
          <w:rFonts w:ascii="Lato" w:hAnsi="Lato"/>
          <w:sz w:val="16"/>
          <w:szCs w:val="16"/>
          <w:lang w:val="fr-CA"/>
        </w:rPr>
        <w:t>craniofaciales</w:t>
      </w:r>
      <w:proofErr w:type="spellEnd"/>
      <w:r w:rsidRPr="008953EF">
        <w:rPr>
          <w:rFonts w:ascii="Lato" w:hAnsi="Lato"/>
          <w:sz w:val="16"/>
          <w:szCs w:val="16"/>
          <w:lang w:val="fr-CA"/>
        </w:rPr>
        <w:t>, de certaines maladies génétiques (p. ex., syndrome de Down) et de maladies neuromusculaires (p. ex., paralysie cérébrale</w:t>
      </w:r>
      <w:r w:rsidR="003640B4" w:rsidRPr="008953EF">
        <w:rPr>
          <w:rFonts w:ascii="Lato" w:hAnsi="Lato"/>
          <w:sz w:val="16"/>
          <w:szCs w:val="16"/>
        </w:rPr>
        <w:t>).</w:t>
      </w:r>
    </w:p>
    <w:p w14:paraId="2921B3CB" w14:textId="2B0F217A" w:rsidR="003640B4" w:rsidRPr="008953EF" w:rsidRDefault="005551B3" w:rsidP="0069631F">
      <w:pPr>
        <w:pStyle w:val="Endnote-H5"/>
        <w:spacing w:after="0"/>
        <w:rPr>
          <w:rFonts w:ascii="Lato" w:hAnsi="Lato"/>
          <w:sz w:val="16"/>
          <w:szCs w:val="16"/>
        </w:rPr>
      </w:pPr>
      <w:r w:rsidRPr="008953EF">
        <w:rPr>
          <w:rFonts w:ascii="Lato" w:hAnsi="Lato"/>
          <w:sz w:val="16"/>
          <w:szCs w:val="16"/>
          <w:lang w:val="fr-CA"/>
        </w:rPr>
        <w:t>OUTILS POUR LA PRATIQUE</w:t>
      </w:r>
    </w:p>
    <w:p w14:paraId="3C31CE66" w14:textId="452CBB17" w:rsidR="003640B4" w:rsidRPr="008953EF" w:rsidRDefault="00000000" w:rsidP="0066497C">
      <w:pPr>
        <w:pStyle w:val="Endnote-Link"/>
        <w:rPr>
          <w:rFonts w:ascii="Lato" w:hAnsi="Lato"/>
          <w:sz w:val="16"/>
          <w:szCs w:val="16"/>
        </w:rPr>
      </w:pPr>
      <w:hyperlink r:id="rId15" w:history="1">
        <w:r w:rsidR="005551B3" w:rsidRPr="008953EF">
          <w:rPr>
            <w:rStyle w:val="Hyperlink"/>
            <w:rFonts w:ascii="Lato" w:hAnsi="Lato"/>
            <w:sz w:val="16"/>
            <w:szCs w:val="16"/>
            <w:lang w:val="fr-CA"/>
          </w:rPr>
          <w:t>Tableau de surveillance : Sommeil</w:t>
        </w:r>
        <w:r w:rsidR="005551B3" w:rsidRPr="008953EF">
          <w:rPr>
            <w:rStyle w:val="Hyperlink"/>
            <w:rFonts w:ascii="Lato" w:hAnsi="Lato"/>
            <w:sz w:val="16"/>
            <w:szCs w:val="16"/>
            <w:lang w:val="en-US"/>
          </w:rPr>
          <w:t xml:space="preserve"> </w:t>
        </w:r>
      </w:hyperlink>
    </w:p>
  </w:endnote>
  <w:endnote w:id="15">
    <w:p w14:paraId="5900B941" w14:textId="60F20744" w:rsidR="003640B4" w:rsidRDefault="003640B4" w:rsidP="0069631F">
      <w:pPr>
        <w:pStyle w:val="Endnote-H4"/>
        <w:spacing w:after="0"/>
      </w:pPr>
      <w:r>
        <w:rPr>
          <w:rStyle w:val="EndnoteReference"/>
        </w:rPr>
        <w:endnoteRef/>
      </w:r>
      <w:r>
        <w:t xml:space="preserve"> </w:t>
      </w:r>
      <w:proofErr w:type="spellStart"/>
      <w:r w:rsidR="005551B3" w:rsidRPr="005551B3">
        <w:t>Douleur</w:t>
      </w:r>
      <w:proofErr w:type="spellEnd"/>
    </w:p>
    <w:p w14:paraId="0BCFD55F" w14:textId="6B6B19C2" w:rsidR="003640B4" w:rsidRPr="008953EF" w:rsidRDefault="005551B3" w:rsidP="0069631F">
      <w:pPr>
        <w:pStyle w:val="Endnote-Bullet-L1"/>
        <w:spacing w:after="0"/>
        <w:rPr>
          <w:rFonts w:ascii="Lato" w:hAnsi="Lato"/>
          <w:sz w:val="16"/>
          <w:szCs w:val="16"/>
        </w:rPr>
      </w:pPr>
      <w:r w:rsidRPr="008953EF">
        <w:rPr>
          <w:rFonts w:ascii="Lato" w:hAnsi="Lato"/>
          <w:sz w:val="16"/>
          <w:szCs w:val="16"/>
          <w:lang w:val="fr-CA"/>
        </w:rPr>
        <w:t>Évaluez la douleur et son intensité à l’aide de la personne aidante et des outils adaptés</w:t>
      </w:r>
      <w:r w:rsidR="003640B4" w:rsidRPr="008953EF">
        <w:rPr>
          <w:rFonts w:ascii="Lato" w:hAnsi="Lato"/>
          <w:sz w:val="16"/>
          <w:szCs w:val="16"/>
        </w:rPr>
        <w:t xml:space="preserve">. </w:t>
      </w:r>
    </w:p>
    <w:p w14:paraId="3E8E365E" w14:textId="78E82E22" w:rsidR="00B13317" w:rsidRPr="0069631F" w:rsidRDefault="005551B3" w:rsidP="0069631F">
      <w:pPr>
        <w:pStyle w:val="Endnote-Context"/>
        <w:rPr>
          <w:rFonts w:ascii="Lato" w:hAnsi="Lato"/>
          <w:sz w:val="16"/>
          <w:szCs w:val="16"/>
        </w:rPr>
      </w:pPr>
      <w:r w:rsidRPr="008953EF">
        <w:rPr>
          <w:rFonts w:ascii="Lato" w:hAnsi="Lato"/>
          <w:sz w:val="16"/>
          <w:szCs w:val="16"/>
          <w:lang w:val="fr-CA"/>
        </w:rPr>
        <w:t xml:space="preserve">La douleur et la détresse peuvent se manifester de façon atypique chez les patients ayant de la difficulté à communiquer et peuvent être difficiles à reconnaître. Des changements non spécifiques dans les signes vitaux, l'apparence ou le comportement (dont être moins réactifs ou plus renfermés) ou l'apparition de nouveaux comportements qui représentent un défi peuvent être les seuls signes indicateurs de douleur ou de détresse. On compte parmi les sources fréquentes de douleur les blessures, les caries dentaires, le reflux </w:t>
      </w:r>
      <w:proofErr w:type="spellStart"/>
      <w:r w:rsidRPr="008953EF">
        <w:rPr>
          <w:rFonts w:ascii="Lato" w:hAnsi="Lato"/>
          <w:sz w:val="16"/>
          <w:szCs w:val="16"/>
          <w:lang w:val="fr-CA"/>
        </w:rPr>
        <w:t>gastro-oesophagien</w:t>
      </w:r>
      <w:proofErr w:type="spellEnd"/>
      <w:r w:rsidRPr="008953EF">
        <w:rPr>
          <w:rFonts w:ascii="Lato" w:hAnsi="Lato"/>
          <w:sz w:val="16"/>
          <w:szCs w:val="16"/>
          <w:lang w:val="fr-CA"/>
        </w:rPr>
        <w:t xml:space="preserve"> pathologique, l'arthrite, la constipation, les infections urinaires et les escarres</w:t>
      </w:r>
      <w:r w:rsidR="003640B4" w:rsidRPr="008953EF">
        <w:rPr>
          <w:rFonts w:ascii="Lato" w:hAnsi="Lato"/>
          <w:sz w:val="16"/>
          <w:szCs w:val="16"/>
        </w:rPr>
        <w:t>.</w:t>
      </w:r>
    </w:p>
    <w:p w14:paraId="1D810250" w14:textId="5F82F8C3" w:rsidR="003640B4" w:rsidRPr="008953EF" w:rsidRDefault="005551B3" w:rsidP="0069631F">
      <w:pPr>
        <w:pStyle w:val="Endnote-H5"/>
        <w:spacing w:after="0"/>
        <w:rPr>
          <w:rFonts w:ascii="Lato" w:hAnsi="Lato"/>
          <w:sz w:val="16"/>
          <w:szCs w:val="16"/>
        </w:rPr>
      </w:pPr>
      <w:r w:rsidRPr="008953EF">
        <w:rPr>
          <w:rFonts w:ascii="Lato" w:hAnsi="Lato"/>
          <w:sz w:val="16"/>
          <w:szCs w:val="16"/>
          <w:lang w:val="fr-CA"/>
        </w:rPr>
        <w:t>OUTILS POUR LA PRATIQUE</w:t>
      </w:r>
      <w:r w:rsidR="003640B4" w:rsidRPr="008953EF">
        <w:rPr>
          <w:rFonts w:ascii="Lato" w:hAnsi="Lato"/>
          <w:sz w:val="16"/>
          <w:szCs w:val="16"/>
        </w:rPr>
        <w:t xml:space="preserve"> </w:t>
      </w:r>
    </w:p>
    <w:p w14:paraId="245D20C6" w14:textId="70C892B5" w:rsidR="003640B4" w:rsidRDefault="00000000" w:rsidP="00A14424">
      <w:pPr>
        <w:pStyle w:val="Endnote-Link"/>
      </w:pPr>
      <w:hyperlink r:id="rId16" w:history="1">
        <w:r w:rsidR="00B13317" w:rsidRPr="008953EF">
          <w:rPr>
            <w:rStyle w:val="Hyperlink"/>
            <w:rFonts w:ascii="Lato" w:hAnsi="Lato"/>
            <w:sz w:val="16"/>
            <w:szCs w:val="16"/>
            <w:lang w:val="fr-CA"/>
          </w:rPr>
          <w:t>Tableaux de surveillance- Évaluation de la douleur</w:t>
        </w:r>
        <w:r w:rsidR="00B13317" w:rsidRPr="00B13317">
          <w:rPr>
            <w:rStyle w:val="Hyperlink"/>
            <w:lang w:val="en-US"/>
          </w:rPr>
          <w:t xml:space="preserve"> </w:t>
        </w:r>
      </w:hyperlink>
    </w:p>
  </w:endnote>
  <w:endnote w:id="16">
    <w:p w14:paraId="732215E3" w14:textId="690D07A8" w:rsidR="003640B4" w:rsidRPr="0038545C" w:rsidRDefault="003640B4" w:rsidP="0069631F">
      <w:pPr>
        <w:pStyle w:val="Endnote-H4"/>
        <w:spacing w:after="0"/>
      </w:pPr>
      <w:r w:rsidRPr="0038545C">
        <w:rPr>
          <w:rStyle w:val="EndnoteReference"/>
        </w:rPr>
        <w:endnoteRef/>
      </w:r>
      <w:r w:rsidRPr="0038545C">
        <w:t xml:space="preserve"> </w:t>
      </w:r>
      <w:r w:rsidR="00B13317" w:rsidRPr="00B13317">
        <w:t xml:space="preserve">Tête et </w:t>
      </w:r>
      <w:proofErr w:type="spellStart"/>
      <w:r w:rsidR="00B13317" w:rsidRPr="00B13317">
        <w:t>cou</w:t>
      </w:r>
      <w:proofErr w:type="spellEnd"/>
    </w:p>
    <w:p w14:paraId="3F3851FD" w14:textId="525503D9" w:rsidR="003640B4" w:rsidRPr="008953EF" w:rsidRDefault="00B13317" w:rsidP="00732486">
      <w:pPr>
        <w:pStyle w:val="Endnote-Bullet-L1"/>
        <w:spacing w:after="0"/>
        <w:rPr>
          <w:rFonts w:ascii="Lato" w:hAnsi="Lato"/>
          <w:sz w:val="16"/>
          <w:szCs w:val="16"/>
        </w:rPr>
      </w:pPr>
      <w:r w:rsidRPr="008953EF">
        <w:rPr>
          <w:rFonts w:ascii="Lato" w:hAnsi="Lato"/>
          <w:sz w:val="16"/>
          <w:szCs w:val="16"/>
          <w:lang w:val="fr-CA"/>
        </w:rPr>
        <w:t>Notez l'année des derniers suivis en audiologie, optométrie et en soins dentaires.</w:t>
      </w:r>
      <w:r w:rsidR="003640B4" w:rsidRPr="008953EF">
        <w:rPr>
          <w:rFonts w:ascii="Lato" w:hAnsi="Lato"/>
          <w:sz w:val="16"/>
          <w:szCs w:val="16"/>
        </w:rPr>
        <w:t xml:space="preserve"> </w:t>
      </w:r>
    </w:p>
    <w:p w14:paraId="6EAE250F" w14:textId="7ADDCFFD" w:rsidR="003640B4" w:rsidRPr="008953EF" w:rsidRDefault="00B13317" w:rsidP="00732486">
      <w:pPr>
        <w:pStyle w:val="Endnote-Bullet-L1"/>
        <w:spacing w:after="0"/>
        <w:rPr>
          <w:rFonts w:ascii="Lato" w:hAnsi="Lato"/>
          <w:sz w:val="16"/>
          <w:szCs w:val="16"/>
        </w:rPr>
      </w:pPr>
      <w:r w:rsidRPr="008953EF">
        <w:rPr>
          <w:rFonts w:ascii="Lato" w:hAnsi="Lato"/>
          <w:sz w:val="16"/>
          <w:szCs w:val="16"/>
          <w:lang w:val="fr-CA"/>
        </w:rPr>
        <w:t>Vérifiez la présence de bouchons de cérumen tous les 6 mois et agissez en conséquence (p. ex., en recommandant l’utilisation régulière de gouttes d’huile minérale</w:t>
      </w:r>
      <w:r w:rsidR="003640B4" w:rsidRPr="008953EF">
        <w:rPr>
          <w:rFonts w:ascii="Lato" w:hAnsi="Lato"/>
          <w:sz w:val="16"/>
          <w:szCs w:val="16"/>
        </w:rPr>
        <w:t xml:space="preserve">). </w:t>
      </w:r>
    </w:p>
    <w:p w14:paraId="29D09B99" w14:textId="1A8A6CCE" w:rsidR="003640B4" w:rsidRPr="008953EF" w:rsidRDefault="00B13317" w:rsidP="00732486">
      <w:pPr>
        <w:pStyle w:val="Endnote-Bullet-L1"/>
        <w:spacing w:after="0"/>
        <w:rPr>
          <w:rFonts w:ascii="Lato" w:hAnsi="Lato"/>
          <w:sz w:val="16"/>
          <w:szCs w:val="16"/>
        </w:rPr>
      </w:pPr>
      <w:r w:rsidRPr="008953EF">
        <w:rPr>
          <w:rFonts w:ascii="Lato" w:hAnsi="Lato"/>
          <w:sz w:val="16"/>
          <w:szCs w:val="16"/>
          <w:lang w:val="fr-CA"/>
        </w:rPr>
        <w:t>Effectuez le test de la voix chuchotée chaque année dans votre bureau.</w:t>
      </w:r>
      <w:r w:rsidR="003640B4" w:rsidRPr="008953EF">
        <w:rPr>
          <w:rFonts w:ascii="Lato" w:hAnsi="Lato"/>
          <w:sz w:val="16"/>
          <w:szCs w:val="16"/>
        </w:rPr>
        <w:t xml:space="preserve"> </w:t>
      </w:r>
    </w:p>
    <w:p w14:paraId="42EE0CD5" w14:textId="63F4EB42" w:rsidR="004F2DAB" w:rsidRPr="008953EF" w:rsidRDefault="00B13317" w:rsidP="00732486">
      <w:pPr>
        <w:pStyle w:val="Endnote-Bullet-L1"/>
        <w:spacing w:after="0"/>
        <w:rPr>
          <w:rFonts w:ascii="Lato" w:hAnsi="Lato"/>
          <w:sz w:val="16"/>
          <w:szCs w:val="16"/>
        </w:rPr>
      </w:pPr>
      <w:r w:rsidRPr="008953EF">
        <w:rPr>
          <w:rFonts w:ascii="Lato" w:hAnsi="Lato"/>
          <w:sz w:val="16"/>
          <w:szCs w:val="16"/>
          <w:lang w:val="fr-CA"/>
        </w:rPr>
        <w:t>Recommandez une évaluation en audiologie selon le résultat du dépistage, et tous les 5 ans après l’âge de 45 ans pour dépister une perte d’audition liée à l’âge. Recommandez cette évaluation plus tôt si les résultats du dépistage l’indiquent, si un diagnostic est posé ou si l’on observe un changement de comportement</w:t>
      </w:r>
      <w:r w:rsidR="00104177" w:rsidRPr="008953EF">
        <w:rPr>
          <w:rFonts w:ascii="Lato" w:hAnsi="Lato"/>
          <w:sz w:val="16"/>
          <w:szCs w:val="16"/>
        </w:rPr>
        <w:t>.</w:t>
      </w:r>
    </w:p>
    <w:p w14:paraId="416F0F76" w14:textId="2342E268" w:rsidR="004F2DAB" w:rsidRPr="008953EF" w:rsidRDefault="00B13317" w:rsidP="00732486">
      <w:pPr>
        <w:pStyle w:val="Endnote-Bullet-L1"/>
        <w:spacing w:after="0"/>
        <w:rPr>
          <w:rFonts w:ascii="Lato" w:hAnsi="Lato"/>
          <w:sz w:val="16"/>
          <w:szCs w:val="16"/>
        </w:rPr>
      </w:pPr>
      <w:r w:rsidRPr="008953EF">
        <w:rPr>
          <w:rFonts w:ascii="Lato" w:hAnsi="Lato"/>
          <w:sz w:val="16"/>
          <w:szCs w:val="16"/>
          <w:lang w:val="fr-CA"/>
        </w:rPr>
        <w:t>Évaluez la vision chaque année en clinique en utilisant des méthodes adaptées ou individuelles au besoin (</w:t>
      </w:r>
      <w:proofErr w:type="spellStart"/>
      <w:r w:rsidRPr="008953EF">
        <w:rPr>
          <w:rFonts w:ascii="Lato" w:hAnsi="Lato"/>
          <w:sz w:val="16"/>
          <w:szCs w:val="16"/>
          <w:lang w:val="fr-CA"/>
        </w:rPr>
        <w:t>voirExamen</w:t>
      </w:r>
      <w:proofErr w:type="spellEnd"/>
      <w:r w:rsidRPr="008953EF">
        <w:rPr>
          <w:rFonts w:ascii="Lato" w:hAnsi="Lato"/>
          <w:sz w:val="16"/>
          <w:szCs w:val="16"/>
          <w:lang w:val="fr-CA"/>
        </w:rPr>
        <w:t xml:space="preserve"> Physique, Vision) ou demandez l'aide d'un expert. Recommandez une évaluation en optométrie tous les 2 ans après l’âge de 40 ans afin de dépister le glaucome et les cataractes, ou si les résultats du dépistage en clinique l’indiquent, si un diagnostic est posé ou si l’on observe un changement de comportement</w:t>
      </w:r>
      <w:r w:rsidR="00104177" w:rsidRPr="008953EF">
        <w:rPr>
          <w:rFonts w:ascii="Lato" w:hAnsi="Lato"/>
          <w:sz w:val="16"/>
          <w:szCs w:val="16"/>
        </w:rPr>
        <w:t>.</w:t>
      </w:r>
      <w:r w:rsidR="004F2DAB" w:rsidRPr="008953EF">
        <w:rPr>
          <w:rFonts w:ascii="Lato" w:hAnsi="Lato"/>
          <w:sz w:val="16"/>
          <w:szCs w:val="16"/>
        </w:rPr>
        <w:t xml:space="preserve"> </w:t>
      </w:r>
    </w:p>
    <w:p w14:paraId="5CB0F1AA" w14:textId="4F055F5A" w:rsidR="004F2DAB" w:rsidRPr="008953EF" w:rsidRDefault="00B13317" w:rsidP="0069631F">
      <w:pPr>
        <w:pStyle w:val="Endnote-Bullet-L1"/>
        <w:spacing w:after="0"/>
        <w:rPr>
          <w:rFonts w:ascii="Lato" w:hAnsi="Lato"/>
          <w:sz w:val="16"/>
          <w:szCs w:val="16"/>
        </w:rPr>
      </w:pPr>
      <w:r w:rsidRPr="008953EF">
        <w:rPr>
          <w:rFonts w:ascii="Lato" w:hAnsi="Lato"/>
          <w:sz w:val="16"/>
          <w:szCs w:val="16"/>
          <w:lang w:val="fr-CA"/>
        </w:rPr>
        <w:t>Recommandez des soins et des examens dentaires réguliers ; également, en cas de changement de comportement. En cas d'érosions dentaires, faites un dépistage pour le reflux gastro-œsophagien</w:t>
      </w:r>
      <w:r w:rsidR="00104177" w:rsidRPr="008953EF">
        <w:rPr>
          <w:rFonts w:ascii="Lato" w:hAnsi="Lato"/>
          <w:sz w:val="16"/>
          <w:szCs w:val="16"/>
        </w:rPr>
        <w:t>.</w:t>
      </w:r>
    </w:p>
    <w:p w14:paraId="30FE1D7C" w14:textId="6CD3C808" w:rsidR="003640B4" w:rsidRPr="008953EF" w:rsidRDefault="00B13317" w:rsidP="00A05F23">
      <w:pPr>
        <w:pStyle w:val="Endnote-Context"/>
        <w:rPr>
          <w:rFonts w:ascii="Lato" w:hAnsi="Lato"/>
          <w:sz w:val="16"/>
          <w:szCs w:val="16"/>
        </w:rPr>
      </w:pPr>
      <w:r w:rsidRPr="008953EF">
        <w:rPr>
          <w:rFonts w:ascii="Lato" w:hAnsi="Lato"/>
          <w:sz w:val="16"/>
          <w:szCs w:val="16"/>
          <w:lang w:val="fr-CA"/>
        </w:rPr>
        <w:t>Les problèmes d’audition, de vision et de santé dentaire sont souvent sous-diagnostiqués chez les adultes ayant des DID et peuvent causer des changements de comportement et de fonctionnement adaptatif</w:t>
      </w:r>
      <w:r w:rsidR="003640B4" w:rsidRPr="008953EF">
        <w:rPr>
          <w:rFonts w:ascii="Lato" w:hAnsi="Lato"/>
          <w:sz w:val="16"/>
          <w:szCs w:val="16"/>
        </w:rPr>
        <w:t xml:space="preserve">. </w:t>
      </w:r>
      <w:r w:rsidRPr="008953EF">
        <w:rPr>
          <w:rFonts w:ascii="Lato" w:hAnsi="Lato"/>
          <w:sz w:val="16"/>
          <w:szCs w:val="16"/>
          <w:lang w:val="fr-CA"/>
        </w:rPr>
        <w:t>Les maladies dentaires font partie des problèmes de santé les plus courants chez les adultes ayant des DID, en raison de leurs difficultés à maintenir une routine d’hygiène buccale régulière et à accéder aux soins dentaires</w:t>
      </w:r>
      <w:r w:rsidR="003640B4" w:rsidRPr="008953EF">
        <w:rPr>
          <w:rFonts w:ascii="Lato" w:hAnsi="Lato"/>
          <w:sz w:val="16"/>
          <w:szCs w:val="16"/>
        </w:rPr>
        <w:t>.</w:t>
      </w:r>
    </w:p>
  </w:endnote>
  <w:endnote w:id="17">
    <w:p w14:paraId="078FCE32" w14:textId="567A8ED1" w:rsidR="003640B4" w:rsidRDefault="003640B4" w:rsidP="0069631F">
      <w:pPr>
        <w:pStyle w:val="Endnote-H4"/>
        <w:spacing w:after="0"/>
      </w:pPr>
      <w:r>
        <w:rPr>
          <w:rStyle w:val="EndnoteReference"/>
        </w:rPr>
        <w:endnoteRef/>
      </w:r>
      <w:r>
        <w:t xml:space="preserve"> </w:t>
      </w:r>
      <w:proofErr w:type="spellStart"/>
      <w:r w:rsidR="00B13317" w:rsidRPr="00B13317">
        <w:t>Cardiovasculaire</w:t>
      </w:r>
      <w:proofErr w:type="spellEnd"/>
    </w:p>
    <w:p w14:paraId="5BEAA34A" w14:textId="7C6E0F4D" w:rsidR="00AA6B8C" w:rsidRPr="008953EF" w:rsidRDefault="00B13317" w:rsidP="0069631F">
      <w:pPr>
        <w:pStyle w:val="Endnote-Bullet-L1"/>
        <w:spacing w:after="0"/>
        <w:rPr>
          <w:rFonts w:ascii="Lato" w:hAnsi="Lato"/>
          <w:sz w:val="16"/>
          <w:szCs w:val="16"/>
        </w:rPr>
      </w:pPr>
      <w:r w:rsidRPr="008953EF">
        <w:rPr>
          <w:rFonts w:ascii="Lato" w:hAnsi="Lato"/>
          <w:sz w:val="16"/>
          <w:szCs w:val="16"/>
          <w:lang w:val="fr-CA"/>
        </w:rPr>
        <w:t>Effectuez un dépistage pour les facteurs de risque cardiovasculaires plus tôt et plus régulièrement que pour la population générale, en plus de promouvoir la prévention</w:t>
      </w:r>
      <w:r w:rsidR="00104177" w:rsidRPr="008953EF">
        <w:rPr>
          <w:rFonts w:ascii="Lato" w:hAnsi="Lato"/>
          <w:sz w:val="16"/>
          <w:szCs w:val="16"/>
        </w:rPr>
        <w:t>.</w:t>
      </w:r>
    </w:p>
    <w:p w14:paraId="538739DB" w14:textId="5DFCB980" w:rsidR="00AA6B8C" w:rsidRPr="008953EF" w:rsidRDefault="00B13317" w:rsidP="0069631F">
      <w:pPr>
        <w:pStyle w:val="Endnote-Bullet-L1"/>
        <w:spacing w:after="0"/>
        <w:rPr>
          <w:rFonts w:ascii="Lato" w:hAnsi="Lato"/>
          <w:sz w:val="16"/>
          <w:szCs w:val="16"/>
        </w:rPr>
      </w:pPr>
      <w:r w:rsidRPr="008953EF">
        <w:rPr>
          <w:rFonts w:ascii="Lato" w:hAnsi="Lato"/>
          <w:sz w:val="16"/>
          <w:szCs w:val="16"/>
          <w:lang w:val="fr-CA"/>
        </w:rPr>
        <w:t>Évaluez chaque année la présence de signes et de symptômes d'une défaillance cardiaque</w:t>
      </w:r>
      <w:r w:rsidR="00104177" w:rsidRPr="008953EF">
        <w:rPr>
          <w:rFonts w:ascii="Lato" w:hAnsi="Lato"/>
          <w:sz w:val="16"/>
          <w:szCs w:val="16"/>
        </w:rPr>
        <w:t>.</w:t>
      </w:r>
    </w:p>
    <w:p w14:paraId="2F4E248F" w14:textId="0F1A8EA4" w:rsidR="003640B4" w:rsidRPr="008953EF" w:rsidRDefault="00B13317" w:rsidP="00693883">
      <w:pPr>
        <w:pStyle w:val="Endnote-Context"/>
        <w:spacing w:after="0"/>
        <w:rPr>
          <w:rFonts w:ascii="Lato" w:hAnsi="Lato"/>
          <w:sz w:val="16"/>
          <w:szCs w:val="16"/>
        </w:rPr>
      </w:pPr>
      <w:r w:rsidRPr="008953EF">
        <w:rPr>
          <w:rFonts w:ascii="Lato" w:hAnsi="Lato"/>
          <w:sz w:val="16"/>
          <w:szCs w:val="16"/>
          <w:lang w:val="fr-CA"/>
        </w:rPr>
        <w:t>Les maladies cardiovasculaires sont plus fréquentes et les facteurs de risque sont accrus. Les problèmes cardiaques d'origine génétique (par ex., dans les syndromes de l'X fragile ou de Williams) peuvent être perdus durant le suivi</w:t>
      </w:r>
      <w:r w:rsidR="003640B4" w:rsidRPr="008953EF">
        <w:rPr>
          <w:rFonts w:ascii="Lato" w:hAnsi="Lato"/>
          <w:sz w:val="16"/>
          <w:szCs w:val="16"/>
        </w:rPr>
        <w:t>.</w:t>
      </w:r>
    </w:p>
  </w:endnote>
  <w:endnote w:id="18">
    <w:p w14:paraId="3CEF1360" w14:textId="4C36D6F2" w:rsidR="003640B4" w:rsidRDefault="003640B4" w:rsidP="0069631F">
      <w:pPr>
        <w:pStyle w:val="Endnote-H4"/>
        <w:spacing w:after="0"/>
      </w:pPr>
      <w:r>
        <w:rPr>
          <w:rStyle w:val="EndnoteReference"/>
        </w:rPr>
        <w:endnoteRef/>
      </w:r>
      <w:r>
        <w:t xml:space="preserve"> </w:t>
      </w:r>
      <w:proofErr w:type="spellStart"/>
      <w:r w:rsidR="00B13317" w:rsidRPr="00B13317">
        <w:t>Respiratoire</w:t>
      </w:r>
      <w:proofErr w:type="spellEnd"/>
    </w:p>
    <w:p w14:paraId="3AC725BD" w14:textId="0B8D50CF" w:rsidR="003640B4" w:rsidRPr="008953EF" w:rsidRDefault="00B13317" w:rsidP="0069631F">
      <w:pPr>
        <w:pStyle w:val="Endnote-Bullet-L1"/>
        <w:spacing w:after="0"/>
        <w:rPr>
          <w:rFonts w:ascii="Lato" w:hAnsi="Lato"/>
          <w:sz w:val="16"/>
          <w:szCs w:val="16"/>
        </w:rPr>
      </w:pPr>
      <w:r w:rsidRPr="008953EF">
        <w:rPr>
          <w:rFonts w:ascii="Lato" w:hAnsi="Lato"/>
          <w:sz w:val="16"/>
          <w:szCs w:val="16"/>
          <w:lang w:val="fr-CA"/>
        </w:rPr>
        <w:t>Effectuez un dépistage pour l'asthme et la BPCO</w:t>
      </w:r>
      <w:r w:rsidR="003640B4" w:rsidRPr="008953EF">
        <w:rPr>
          <w:rFonts w:ascii="Lato" w:hAnsi="Lato"/>
          <w:sz w:val="16"/>
          <w:szCs w:val="16"/>
        </w:rPr>
        <w:t xml:space="preserve">. </w:t>
      </w:r>
    </w:p>
    <w:p w14:paraId="04FF91AA" w14:textId="16757C0E" w:rsidR="003640B4" w:rsidRPr="008953EF" w:rsidRDefault="00B13317" w:rsidP="0069631F">
      <w:pPr>
        <w:pStyle w:val="Endnote-Bullet-L1"/>
        <w:spacing w:after="0"/>
        <w:rPr>
          <w:rFonts w:ascii="Lato" w:hAnsi="Lato"/>
          <w:sz w:val="16"/>
          <w:szCs w:val="16"/>
        </w:rPr>
      </w:pPr>
      <w:r w:rsidRPr="008953EF">
        <w:rPr>
          <w:rFonts w:ascii="Lato" w:hAnsi="Lato"/>
          <w:sz w:val="16"/>
          <w:szCs w:val="16"/>
          <w:lang w:val="fr-CA"/>
        </w:rPr>
        <w:t>Effectuez un dépistage de l’aspiration (se racler la gorge après avoir avalé, tousser, s’étouffer, saliver, manger lentement, aversion pour la nourriture, perte de poids, infections respiratoires fréquentes)</w:t>
      </w:r>
      <w:r w:rsidR="003640B4" w:rsidRPr="008953EF">
        <w:rPr>
          <w:rFonts w:ascii="Lato" w:hAnsi="Lato"/>
          <w:sz w:val="16"/>
          <w:szCs w:val="16"/>
        </w:rPr>
        <w:t>.</w:t>
      </w:r>
    </w:p>
    <w:p w14:paraId="5B83DD9B" w14:textId="65D2FE9B" w:rsidR="003640B4" w:rsidRPr="008953EF" w:rsidRDefault="00B13317" w:rsidP="0069631F">
      <w:pPr>
        <w:pStyle w:val="Endnote-Bullet-L1"/>
        <w:spacing w:after="0"/>
        <w:rPr>
          <w:rFonts w:ascii="Lato" w:hAnsi="Lato"/>
          <w:sz w:val="16"/>
          <w:szCs w:val="16"/>
        </w:rPr>
      </w:pPr>
      <w:r w:rsidRPr="008953EF">
        <w:rPr>
          <w:rFonts w:ascii="Lato" w:hAnsi="Lato"/>
          <w:sz w:val="16"/>
          <w:szCs w:val="16"/>
          <w:lang w:val="fr-CA"/>
        </w:rPr>
        <w:t xml:space="preserve">Envisagez d'aiguiller votre patient vers un orthophoniste et de demander une </w:t>
      </w:r>
      <w:proofErr w:type="gramStart"/>
      <w:r w:rsidRPr="008953EF">
        <w:rPr>
          <w:rFonts w:ascii="Lato" w:hAnsi="Lato"/>
          <w:sz w:val="16"/>
          <w:szCs w:val="16"/>
          <w:lang w:val="fr-CA"/>
        </w:rPr>
        <w:t>imagerie  de</w:t>
      </w:r>
      <w:proofErr w:type="gramEnd"/>
      <w:r w:rsidRPr="008953EF">
        <w:rPr>
          <w:rFonts w:ascii="Lato" w:hAnsi="Lato"/>
          <w:sz w:val="16"/>
          <w:szCs w:val="16"/>
          <w:lang w:val="fr-CA"/>
        </w:rPr>
        <w:t xml:space="preserve"> la déglutition</w:t>
      </w:r>
      <w:r w:rsidR="003640B4" w:rsidRPr="008953EF">
        <w:rPr>
          <w:rFonts w:ascii="Lato" w:hAnsi="Lato"/>
          <w:sz w:val="16"/>
          <w:szCs w:val="16"/>
        </w:rPr>
        <w:t>.</w:t>
      </w:r>
    </w:p>
    <w:p w14:paraId="699DCF10" w14:textId="0FA0FFF3" w:rsidR="003640B4" w:rsidRPr="008953EF" w:rsidRDefault="00B13317" w:rsidP="0069631F">
      <w:pPr>
        <w:pStyle w:val="Endnote-Bullet-L1"/>
        <w:spacing w:after="0"/>
        <w:rPr>
          <w:rFonts w:ascii="Lato" w:hAnsi="Lato"/>
          <w:sz w:val="16"/>
          <w:szCs w:val="16"/>
        </w:rPr>
      </w:pPr>
      <w:r w:rsidRPr="008953EF">
        <w:rPr>
          <w:rFonts w:ascii="Lato" w:hAnsi="Lato"/>
          <w:sz w:val="16"/>
          <w:szCs w:val="16"/>
          <w:lang w:val="fr-CA"/>
        </w:rPr>
        <w:t>Considérez la possibilité de l'apnée du sommeil, particulièrement chez les patients ayant le syndrome de Down</w:t>
      </w:r>
      <w:r w:rsidR="003640B4" w:rsidRPr="008953EF">
        <w:rPr>
          <w:rFonts w:ascii="Lato" w:hAnsi="Lato"/>
          <w:sz w:val="16"/>
          <w:szCs w:val="16"/>
        </w:rPr>
        <w:t>.</w:t>
      </w:r>
    </w:p>
    <w:p w14:paraId="11FFA520" w14:textId="72136788" w:rsidR="003640B4" w:rsidRPr="008953EF" w:rsidRDefault="00B13317" w:rsidP="00A05F23">
      <w:pPr>
        <w:pStyle w:val="Endnote-Context"/>
        <w:rPr>
          <w:rFonts w:ascii="Lato" w:hAnsi="Lato"/>
          <w:sz w:val="16"/>
          <w:szCs w:val="16"/>
        </w:rPr>
      </w:pPr>
      <w:r w:rsidRPr="008953EF">
        <w:rPr>
          <w:rFonts w:ascii="Lato" w:hAnsi="Lato"/>
          <w:sz w:val="16"/>
          <w:szCs w:val="16"/>
          <w:lang w:val="fr-CA"/>
        </w:rPr>
        <w:t>Les troubles respiratoires sont parmi les causes de décès les plus fréquentes chez les adultes ayant des DID</w:t>
      </w:r>
      <w:r w:rsidR="003640B4" w:rsidRPr="008953EF">
        <w:rPr>
          <w:rFonts w:ascii="Lato" w:hAnsi="Lato"/>
          <w:sz w:val="16"/>
          <w:szCs w:val="16"/>
        </w:rPr>
        <w:t xml:space="preserve">. </w:t>
      </w:r>
      <w:r w:rsidRPr="008953EF">
        <w:rPr>
          <w:rFonts w:ascii="Lato" w:hAnsi="Lato"/>
          <w:sz w:val="16"/>
          <w:szCs w:val="16"/>
          <w:lang w:val="fr-CA"/>
        </w:rPr>
        <w:t>L'asthme et la BPCO sont plus répandus que dans la population générale</w:t>
      </w:r>
      <w:r w:rsidR="003640B4" w:rsidRPr="008953EF">
        <w:rPr>
          <w:rFonts w:ascii="Lato" w:hAnsi="Lato"/>
          <w:sz w:val="16"/>
          <w:szCs w:val="16"/>
        </w:rPr>
        <w:t xml:space="preserve">. </w:t>
      </w:r>
      <w:r w:rsidRPr="008953EF">
        <w:rPr>
          <w:rFonts w:ascii="Lato" w:hAnsi="Lato"/>
          <w:sz w:val="16"/>
          <w:szCs w:val="16"/>
          <w:lang w:val="fr-CA"/>
        </w:rPr>
        <w:t>Les tests de fonction pulmonaire ne sont peut-être pas possibles, mais un appel téléphonique au technicien respiratoire effectuant le test pourrait être bénéfique</w:t>
      </w:r>
      <w:r w:rsidR="003640B4" w:rsidRPr="008953EF">
        <w:rPr>
          <w:rFonts w:ascii="Lato" w:hAnsi="Lato"/>
          <w:sz w:val="16"/>
          <w:szCs w:val="16"/>
        </w:rPr>
        <w:t xml:space="preserve">. </w:t>
      </w:r>
      <w:r w:rsidRPr="008953EF">
        <w:rPr>
          <w:rFonts w:ascii="Lato" w:hAnsi="Lato"/>
          <w:sz w:val="16"/>
          <w:szCs w:val="16"/>
          <w:lang w:val="fr-CA"/>
        </w:rPr>
        <w:t>Les patients souffrant de dysfonction neuromusculaire ou qui prennent certains médicaments ayant des effets secondaires anticholinergiques peuvent avoir de la difficulté à avaler, ce qui pourrait causer de l’aspiration ou une asphyxie</w:t>
      </w:r>
      <w:r w:rsidR="003640B4" w:rsidRPr="008953EF">
        <w:rPr>
          <w:rFonts w:ascii="Lato" w:hAnsi="Lato"/>
          <w:sz w:val="16"/>
          <w:szCs w:val="16"/>
        </w:rPr>
        <w:t>.</w:t>
      </w:r>
    </w:p>
  </w:endnote>
  <w:endnote w:id="19">
    <w:p w14:paraId="5BFBA6DE" w14:textId="77777777" w:rsidR="00B061E0" w:rsidRDefault="00B061E0" w:rsidP="0069631F">
      <w:pPr>
        <w:pStyle w:val="Endnote-H4"/>
        <w:spacing w:after="0"/>
      </w:pPr>
    </w:p>
    <w:p w14:paraId="344611BB" w14:textId="77777777" w:rsidR="00B061E0" w:rsidRDefault="00B061E0" w:rsidP="0069631F">
      <w:pPr>
        <w:pStyle w:val="Endnote-H4"/>
        <w:spacing w:after="0"/>
      </w:pPr>
    </w:p>
    <w:p w14:paraId="7EBF18D2" w14:textId="77777777" w:rsidR="00B061E0" w:rsidRDefault="00B061E0" w:rsidP="0069631F">
      <w:pPr>
        <w:pStyle w:val="Endnote-H4"/>
        <w:spacing w:after="0"/>
      </w:pPr>
    </w:p>
    <w:p w14:paraId="051CAC9C" w14:textId="7F230D38" w:rsidR="003640B4" w:rsidRDefault="003640B4" w:rsidP="0069631F">
      <w:pPr>
        <w:pStyle w:val="Endnote-H4"/>
        <w:spacing w:after="0"/>
      </w:pPr>
      <w:r>
        <w:rPr>
          <w:rStyle w:val="EndnoteReference"/>
        </w:rPr>
        <w:endnoteRef/>
      </w:r>
      <w:r>
        <w:t xml:space="preserve"> </w:t>
      </w:r>
      <w:r w:rsidRPr="00630A3C">
        <w:t>Gastrointestinal</w:t>
      </w:r>
      <w:r>
        <w:t xml:space="preserve"> </w:t>
      </w:r>
    </w:p>
    <w:p w14:paraId="38168EE0" w14:textId="4D0AAF36" w:rsidR="003640B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Effectuez un dépistage du reflux </w:t>
      </w:r>
      <w:proofErr w:type="spellStart"/>
      <w:r w:rsidRPr="008953EF">
        <w:rPr>
          <w:rFonts w:ascii="Lato" w:hAnsi="Lato" w:cstheme="minorHAnsi"/>
          <w:color w:val="000000"/>
          <w:sz w:val="16"/>
          <w:szCs w:val="16"/>
          <w:lang w:val="fr-CA"/>
        </w:rPr>
        <w:t>gastro-oesophagien</w:t>
      </w:r>
      <w:proofErr w:type="spellEnd"/>
      <w:r w:rsidRPr="008953EF">
        <w:rPr>
          <w:rFonts w:ascii="Lato" w:hAnsi="Lato" w:cstheme="minorHAnsi"/>
          <w:color w:val="000000"/>
          <w:sz w:val="16"/>
          <w:szCs w:val="16"/>
          <w:lang w:val="fr-CA"/>
        </w:rPr>
        <w:t xml:space="preserve"> pathologique, de la constipation, des ulcères gastroduodénaux, de la maladie céliaque, du pica</w:t>
      </w:r>
      <w:r w:rsidR="003640B4" w:rsidRPr="008953EF">
        <w:rPr>
          <w:rFonts w:ascii="Lato" w:hAnsi="Lato"/>
          <w:sz w:val="16"/>
          <w:szCs w:val="16"/>
        </w:rPr>
        <w:t xml:space="preserve">. </w:t>
      </w:r>
    </w:p>
    <w:p w14:paraId="5473F5AD" w14:textId="319B4640" w:rsidR="003640B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Effectuez un test pour détecter la présence de H. pylori auprès des adultes symptomatiques et asymptomatiques qui vivent en institutions ou en foyer de groupe; répétez le test à des intervalles réguliers, tous les 3 à 5 ans si la méthode du test d’haleine est utilisée</w:t>
      </w:r>
      <w:r w:rsidR="003640B4" w:rsidRPr="008953EF">
        <w:rPr>
          <w:rFonts w:ascii="Lato" w:hAnsi="Lato"/>
          <w:sz w:val="16"/>
          <w:szCs w:val="16"/>
        </w:rPr>
        <w:t xml:space="preserve">. </w:t>
      </w:r>
    </w:p>
    <w:p w14:paraId="7FA4C091" w14:textId="31EF74B0" w:rsidR="003640B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Renseignez-vous sur la fréquence et la régularité des selles. Traitez les causes médicales réversibles</w:t>
      </w:r>
      <w:r w:rsidR="003640B4" w:rsidRPr="008953EF">
        <w:rPr>
          <w:rFonts w:ascii="Lato" w:hAnsi="Lato"/>
          <w:sz w:val="16"/>
          <w:szCs w:val="16"/>
        </w:rPr>
        <w:t>.</w:t>
      </w:r>
    </w:p>
    <w:p w14:paraId="35D0FA86" w14:textId="62F6BCB7" w:rsidR="003640B4" w:rsidRPr="008953EF" w:rsidRDefault="00B13317" w:rsidP="00A05F23">
      <w:pPr>
        <w:pStyle w:val="Endnote-Context"/>
        <w:rPr>
          <w:rFonts w:ascii="Lato" w:hAnsi="Lato"/>
          <w:sz w:val="16"/>
          <w:szCs w:val="16"/>
        </w:rPr>
      </w:pPr>
      <w:r w:rsidRPr="008953EF">
        <w:rPr>
          <w:rFonts w:ascii="Lato" w:hAnsi="Lato" w:cstheme="minorHAnsi"/>
          <w:color w:val="000000"/>
          <w:sz w:val="16"/>
          <w:szCs w:val="16"/>
          <w:lang w:val="fr-CA"/>
        </w:rPr>
        <w:t>Les problèmes gastro-intestinaux sont fréquents chez les adultes ayant des DID. Les signes et symptômes présents sont souvent différents de ceux observés dans l’ensemble de la population, et peuvent inclure une aversion pour la nourriture ainsi que des changements de comportement ou de poids. Des symptômes de RGO (reflux gastro-œsophagien) peuvent inclure des postures anormales, des refus de nourriture, une consommation excessive d'eau ou des comportements de pica</w:t>
      </w:r>
      <w:r w:rsidR="003640B4" w:rsidRPr="008953EF">
        <w:rPr>
          <w:rFonts w:ascii="Lato" w:hAnsi="Lato"/>
          <w:sz w:val="16"/>
          <w:szCs w:val="16"/>
        </w:rPr>
        <w:t xml:space="preserve">. </w:t>
      </w:r>
    </w:p>
    <w:p w14:paraId="68CC8317" w14:textId="50B00B7E" w:rsidR="003640B4" w:rsidRPr="008953EF" w:rsidRDefault="00B13317"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r w:rsidR="003640B4" w:rsidRPr="008953EF">
        <w:rPr>
          <w:rFonts w:ascii="Lato" w:hAnsi="Lato"/>
          <w:sz w:val="16"/>
          <w:szCs w:val="16"/>
        </w:rPr>
        <w:t xml:space="preserve"> </w:t>
      </w:r>
    </w:p>
    <w:p w14:paraId="2849CD6D" w14:textId="2C6AB8CD" w:rsidR="003640B4" w:rsidRPr="008953EF" w:rsidRDefault="00000000" w:rsidP="00A14424">
      <w:pPr>
        <w:pStyle w:val="Endnote-Link"/>
        <w:rPr>
          <w:rFonts w:ascii="Lato" w:hAnsi="Lato"/>
          <w:sz w:val="16"/>
          <w:szCs w:val="16"/>
        </w:rPr>
      </w:pPr>
      <w:hyperlink r:id="rId17" w:history="1">
        <w:r w:rsidR="00B13317" w:rsidRPr="008953EF">
          <w:rPr>
            <w:rStyle w:val="Hyperlink"/>
            <w:rFonts w:ascii="Lato" w:hAnsi="Lato"/>
            <w:sz w:val="16"/>
            <w:szCs w:val="16"/>
            <w:lang w:val="fr-CA"/>
          </w:rPr>
          <w:t>Tableau de surveillance : Mouvements Intestinaux</w:t>
        </w:r>
        <w:r w:rsidR="00B13317" w:rsidRPr="008953EF">
          <w:rPr>
            <w:rStyle w:val="Hyperlink"/>
            <w:rFonts w:ascii="Lato" w:hAnsi="Lato"/>
            <w:sz w:val="16"/>
            <w:szCs w:val="16"/>
            <w:lang w:val="en-US"/>
          </w:rPr>
          <w:t xml:space="preserve"> </w:t>
        </w:r>
      </w:hyperlink>
    </w:p>
  </w:endnote>
  <w:endnote w:id="20">
    <w:p w14:paraId="5847E187" w14:textId="18E58880" w:rsidR="003640B4" w:rsidRDefault="003640B4" w:rsidP="0069631F">
      <w:pPr>
        <w:pStyle w:val="Endnote-H4"/>
        <w:spacing w:after="0"/>
      </w:pPr>
      <w:r>
        <w:rPr>
          <w:rStyle w:val="EndnoteReference"/>
        </w:rPr>
        <w:endnoteRef/>
      </w:r>
      <w:r>
        <w:t xml:space="preserve"> </w:t>
      </w:r>
      <w:proofErr w:type="spellStart"/>
      <w:r w:rsidR="00B13317">
        <w:rPr>
          <w:rFonts w:cstheme="minorHAnsi"/>
          <w:color w:val="000000"/>
        </w:rPr>
        <w:t>Appareil</w:t>
      </w:r>
      <w:proofErr w:type="spellEnd"/>
      <w:r w:rsidR="00B13317">
        <w:rPr>
          <w:rFonts w:cstheme="minorHAnsi"/>
          <w:color w:val="000000"/>
        </w:rPr>
        <w:t xml:space="preserve"> </w:t>
      </w:r>
      <w:proofErr w:type="spellStart"/>
      <w:r w:rsidR="00B13317">
        <w:rPr>
          <w:rFonts w:cstheme="minorHAnsi"/>
          <w:color w:val="000000"/>
        </w:rPr>
        <w:t>urogénital</w:t>
      </w:r>
      <w:proofErr w:type="spellEnd"/>
    </w:p>
    <w:p w14:paraId="1DBAA1B9" w14:textId="2E1B0BCE" w:rsidR="00A01A9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Examinez les problèmes </w:t>
      </w:r>
      <w:proofErr w:type="spellStart"/>
      <w:r w:rsidRPr="008953EF">
        <w:rPr>
          <w:rFonts w:ascii="Lato" w:hAnsi="Lato" w:cstheme="minorHAnsi"/>
          <w:color w:val="000000"/>
          <w:sz w:val="16"/>
          <w:szCs w:val="16"/>
          <w:lang w:val="fr-CA"/>
        </w:rPr>
        <w:t>périmenstruels</w:t>
      </w:r>
      <w:proofErr w:type="spellEnd"/>
      <w:r w:rsidRPr="008953EF">
        <w:rPr>
          <w:rFonts w:ascii="Lato" w:hAnsi="Lato" w:cstheme="minorHAnsi"/>
          <w:color w:val="000000"/>
          <w:sz w:val="16"/>
          <w:szCs w:val="16"/>
          <w:lang w:val="fr-CA"/>
        </w:rPr>
        <w:t xml:space="preserve"> et menstruels des femmes.</w:t>
      </w:r>
      <w:r w:rsidR="00A01A94" w:rsidRPr="008953EF">
        <w:rPr>
          <w:rFonts w:ascii="Lato" w:hAnsi="Lato"/>
          <w:sz w:val="16"/>
          <w:szCs w:val="16"/>
        </w:rPr>
        <w:t xml:space="preserve"> </w:t>
      </w:r>
    </w:p>
    <w:p w14:paraId="1BDB070F" w14:textId="4D9F2BA3" w:rsidR="00A01A9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Discutez des méthodes de régulation du cycle menstruel avec les femmes ayant des DID et leurs aidants</w:t>
      </w:r>
      <w:r w:rsidR="00104177" w:rsidRPr="008953EF">
        <w:rPr>
          <w:rFonts w:ascii="Lato" w:hAnsi="Lato"/>
          <w:sz w:val="16"/>
          <w:szCs w:val="16"/>
        </w:rPr>
        <w:t>.</w:t>
      </w:r>
    </w:p>
    <w:p w14:paraId="3CAA7D8D" w14:textId="0A098A4A" w:rsidR="00A01A9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Demandez à la patiente si elle a des symptômes de ménopause à un plus jeune âge que vous le feriez auprès de femmes n’ayant pas de DID</w:t>
      </w:r>
      <w:r w:rsidR="00104177" w:rsidRPr="008953EF">
        <w:rPr>
          <w:rFonts w:ascii="Lato" w:hAnsi="Lato"/>
          <w:sz w:val="16"/>
          <w:szCs w:val="16"/>
        </w:rPr>
        <w:t>.</w:t>
      </w:r>
    </w:p>
    <w:p w14:paraId="739F5F6A" w14:textId="35F5C766" w:rsidR="00A01A9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Dépistez l’exploitation sexuelle ou des pratiques sexuelles involontaires à risque ou nuisibles</w:t>
      </w:r>
      <w:r w:rsidR="00104177" w:rsidRPr="008953EF">
        <w:rPr>
          <w:rFonts w:ascii="Lato" w:hAnsi="Lato"/>
          <w:sz w:val="16"/>
          <w:szCs w:val="16"/>
        </w:rPr>
        <w:t>.</w:t>
      </w:r>
    </w:p>
    <w:p w14:paraId="441C5381" w14:textId="10A2082E" w:rsidR="00A01A94" w:rsidRPr="008953EF" w:rsidRDefault="00B13317" w:rsidP="0069631F">
      <w:pPr>
        <w:pStyle w:val="Endnote-Bullet-L1"/>
        <w:spacing w:after="0"/>
        <w:rPr>
          <w:rFonts w:ascii="Lato" w:hAnsi="Lato"/>
          <w:sz w:val="16"/>
          <w:szCs w:val="16"/>
        </w:rPr>
      </w:pPr>
      <w:r w:rsidRPr="008953EF">
        <w:rPr>
          <w:rFonts w:ascii="Lato" w:hAnsi="Lato" w:cstheme="minorHAnsi"/>
          <w:color w:val="000000"/>
          <w:sz w:val="16"/>
          <w:szCs w:val="16"/>
          <w:lang w:val="fr-CA"/>
        </w:rPr>
        <w:t>Considérez la rétention urinaire chez les patients ayant une dysfonction neurologique</w:t>
      </w:r>
      <w:r w:rsidR="00104177" w:rsidRPr="008953EF">
        <w:rPr>
          <w:rFonts w:ascii="Lato" w:hAnsi="Lato"/>
          <w:sz w:val="16"/>
          <w:szCs w:val="16"/>
        </w:rPr>
        <w:t>.</w:t>
      </w:r>
    </w:p>
    <w:p w14:paraId="46A8DD96" w14:textId="06569738" w:rsidR="003640B4" w:rsidRPr="008953EF" w:rsidRDefault="00B13317" w:rsidP="00A05F23">
      <w:pPr>
        <w:pStyle w:val="Endnote-Context"/>
        <w:rPr>
          <w:rFonts w:ascii="Lato" w:hAnsi="Lato"/>
          <w:sz w:val="16"/>
          <w:szCs w:val="16"/>
        </w:rPr>
      </w:pPr>
      <w:r w:rsidRPr="008953EF">
        <w:rPr>
          <w:rFonts w:ascii="Lato" w:hAnsi="Lato"/>
          <w:sz w:val="16"/>
          <w:szCs w:val="16"/>
          <w:lang w:val="fr-CA"/>
        </w:rPr>
        <w:t>Fournissez de l’information sur la gestion des symptômes menstruels et des options possibles, y compris l’utilisation d’interventions non hormonales (p. ex., des antiinflammatoires non stéroïdiens</w:t>
      </w:r>
      <w:r w:rsidR="003640B4" w:rsidRPr="008953EF">
        <w:rPr>
          <w:rFonts w:ascii="Lato" w:hAnsi="Lato"/>
          <w:sz w:val="16"/>
          <w:szCs w:val="16"/>
        </w:rPr>
        <w:t xml:space="preserve">). </w:t>
      </w:r>
      <w:r w:rsidRPr="008953EF">
        <w:rPr>
          <w:rFonts w:ascii="Lato" w:hAnsi="Lato"/>
          <w:sz w:val="16"/>
          <w:szCs w:val="16"/>
          <w:lang w:val="fr-CA"/>
        </w:rPr>
        <w:t>En décidant ensemble d’une méthode de régulation menstruelle, si elle est souhaitée, il faut tenir compte de la sécurité et développement de l’efficacité, de l’état de santé de la patiente et de l’opinion de la patiente et de la personne aidante sur les avantages et les inconvénients pour la patiente</w:t>
      </w:r>
      <w:r w:rsidR="003640B4" w:rsidRPr="008953EF">
        <w:rPr>
          <w:rFonts w:ascii="Lato" w:hAnsi="Lato"/>
          <w:sz w:val="16"/>
          <w:szCs w:val="16"/>
        </w:rPr>
        <w:t xml:space="preserve">. </w:t>
      </w:r>
      <w:r w:rsidR="00B74649" w:rsidRPr="008953EF">
        <w:rPr>
          <w:rFonts w:ascii="Lato" w:hAnsi="Lato"/>
          <w:sz w:val="16"/>
          <w:szCs w:val="16"/>
          <w:lang w:val="fr-CA"/>
        </w:rPr>
        <w:t xml:space="preserve">En cas de pratiques sexuelles à risque ou </w:t>
      </w:r>
      <w:proofErr w:type="gramStart"/>
      <w:r w:rsidR="00B74649" w:rsidRPr="008953EF">
        <w:rPr>
          <w:rFonts w:ascii="Lato" w:hAnsi="Lato"/>
          <w:sz w:val="16"/>
          <w:szCs w:val="16"/>
          <w:lang w:val="fr-CA"/>
        </w:rPr>
        <w:t>nuisibles,  facilitez</w:t>
      </w:r>
      <w:proofErr w:type="gramEnd"/>
      <w:r w:rsidR="00B74649" w:rsidRPr="008953EF">
        <w:rPr>
          <w:rFonts w:ascii="Lato" w:hAnsi="Lato"/>
          <w:sz w:val="16"/>
          <w:szCs w:val="16"/>
          <w:lang w:val="fr-CA"/>
        </w:rPr>
        <w:t xml:space="preserve"> la discussion entre la patiente et sa personne aidante sur une variété de méthodes pour réduire le risque d'infections et pour contrôler la fertilité</w:t>
      </w:r>
      <w:r w:rsidR="00DC64BA" w:rsidRPr="008953EF">
        <w:rPr>
          <w:rFonts w:ascii="Lato" w:hAnsi="Lato"/>
          <w:sz w:val="16"/>
          <w:szCs w:val="16"/>
        </w:rPr>
        <w:t>.</w:t>
      </w:r>
    </w:p>
    <w:p w14:paraId="3CE3A609" w14:textId="298EDE69" w:rsidR="003640B4" w:rsidRPr="008953EF" w:rsidRDefault="00B74649"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r w:rsidR="003640B4" w:rsidRPr="008953EF">
        <w:rPr>
          <w:rFonts w:ascii="Lato" w:hAnsi="Lato"/>
          <w:sz w:val="16"/>
          <w:szCs w:val="16"/>
        </w:rPr>
        <w:t xml:space="preserve"> </w:t>
      </w:r>
    </w:p>
    <w:p w14:paraId="687CBAC3" w14:textId="421BFC36" w:rsidR="003640B4" w:rsidRPr="008953EF" w:rsidRDefault="00000000" w:rsidP="00A14424">
      <w:pPr>
        <w:pStyle w:val="Endnote-Link"/>
        <w:rPr>
          <w:rFonts w:ascii="Lato" w:hAnsi="Lato"/>
          <w:sz w:val="16"/>
          <w:szCs w:val="16"/>
        </w:rPr>
      </w:pPr>
      <w:hyperlink r:id="rId18" w:history="1">
        <w:r w:rsidR="00B74649" w:rsidRPr="008953EF">
          <w:rPr>
            <w:rStyle w:val="Hyperlink"/>
            <w:rFonts w:ascii="Lato" w:hAnsi="Lato"/>
            <w:sz w:val="16"/>
            <w:szCs w:val="16"/>
            <w:lang w:val="fr-CA"/>
          </w:rPr>
          <w:t>Tableau de surveillance : Cycle menstruel</w:t>
        </w:r>
      </w:hyperlink>
    </w:p>
  </w:endnote>
  <w:endnote w:id="21">
    <w:p w14:paraId="21ED6440" w14:textId="518D9EFE" w:rsidR="003640B4" w:rsidRDefault="003640B4" w:rsidP="0069631F">
      <w:pPr>
        <w:pStyle w:val="Endnote-H4"/>
        <w:spacing w:after="0"/>
      </w:pPr>
      <w:r>
        <w:rPr>
          <w:rStyle w:val="EndnoteReference"/>
        </w:rPr>
        <w:endnoteRef/>
      </w:r>
      <w:r>
        <w:t xml:space="preserve"> </w:t>
      </w:r>
      <w:proofErr w:type="spellStart"/>
      <w:r w:rsidR="00B74649">
        <w:rPr>
          <w:rFonts w:cstheme="minorHAnsi"/>
          <w:color w:val="000000"/>
        </w:rPr>
        <w:t>Santé</w:t>
      </w:r>
      <w:proofErr w:type="spellEnd"/>
      <w:r w:rsidR="00B74649">
        <w:rPr>
          <w:rFonts w:cstheme="minorHAnsi"/>
          <w:color w:val="000000"/>
        </w:rPr>
        <w:t xml:space="preserve"> </w:t>
      </w:r>
      <w:proofErr w:type="spellStart"/>
      <w:r w:rsidR="00B74649">
        <w:rPr>
          <w:rFonts w:cstheme="minorHAnsi"/>
          <w:color w:val="000000"/>
        </w:rPr>
        <w:t>sexuelle</w:t>
      </w:r>
      <w:proofErr w:type="spellEnd"/>
    </w:p>
    <w:p w14:paraId="2B2BA8FE" w14:textId="0A3BBF62" w:rsidR="003640B4" w:rsidRPr="008953EF" w:rsidRDefault="00B74649" w:rsidP="00732486">
      <w:pPr>
        <w:pStyle w:val="Endnote-Bullet-L1"/>
        <w:spacing w:after="0"/>
        <w:rPr>
          <w:rFonts w:ascii="Lato" w:hAnsi="Lato"/>
          <w:sz w:val="16"/>
          <w:szCs w:val="16"/>
        </w:rPr>
      </w:pPr>
      <w:r w:rsidRPr="008953EF">
        <w:rPr>
          <w:rFonts w:ascii="Lato" w:hAnsi="Lato" w:cstheme="minorHAnsi"/>
          <w:color w:val="000000"/>
          <w:sz w:val="16"/>
          <w:szCs w:val="16"/>
          <w:lang w:val="fr-CA"/>
        </w:rPr>
        <w:t>Posez des questions sur la sexualité. Envisagez d'utiliser certaines des questions suivante</w:t>
      </w:r>
      <w:r w:rsidR="003640B4" w:rsidRPr="008953EF">
        <w:rPr>
          <w:rFonts w:ascii="Lato" w:hAnsi="Lato"/>
          <w:sz w:val="16"/>
          <w:szCs w:val="16"/>
        </w:rPr>
        <w:t xml:space="preserve">s: </w:t>
      </w:r>
    </w:p>
    <w:p w14:paraId="44FEE586" w14:textId="113EA4D5"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As-tu un petit ami ou une petite amie</w:t>
      </w:r>
      <w:r w:rsidR="003640B4" w:rsidRPr="008953EF">
        <w:rPr>
          <w:rFonts w:ascii="Lato" w:hAnsi="Lato"/>
          <w:sz w:val="16"/>
          <w:szCs w:val="16"/>
        </w:rPr>
        <w:t xml:space="preserve">? </w:t>
      </w:r>
    </w:p>
    <w:p w14:paraId="01B829F0" w14:textId="55638878"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Avez-vous une relation physique</w:t>
      </w:r>
      <w:r w:rsidR="003640B4" w:rsidRPr="008953EF">
        <w:rPr>
          <w:rFonts w:ascii="Lato" w:hAnsi="Lato"/>
          <w:sz w:val="16"/>
          <w:szCs w:val="16"/>
        </w:rPr>
        <w:t xml:space="preserve">? </w:t>
      </w:r>
    </w:p>
    <w:p w14:paraId="112D9104" w14:textId="3361D9D3"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Embrasses-tu ou donnes-</w:t>
      </w:r>
      <w:proofErr w:type="gramStart"/>
      <w:r w:rsidRPr="008953EF">
        <w:rPr>
          <w:rFonts w:ascii="Lato" w:hAnsi="Lato" w:cstheme="minorHAnsi"/>
          <w:color w:val="000000"/>
          <w:sz w:val="16"/>
          <w:szCs w:val="16"/>
          <w:lang w:val="fr-CA"/>
        </w:rPr>
        <w:t>tu  des</w:t>
      </w:r>
      <w:proofErr w:type="gramEnd"/>
      <w:r w:rsidRPr="008953EF">
        <w:rPr>
          <w:rFonts w:ascii="Lato" w:hAnsi="Lato" w:cstheme="minorHAnsi"/>
          <w:color w:val="000000"/>
          <w:sz w:val="16"/>
          <w:szCs w:val="16"/>
          <w:lang w:val="fr-CA"/>
        </w:rPr>
        <w:t xml:space="preserve"> câlins à ton petit ami ou ta petite amie</w:t>
      </w:r>
      <w:r w:rsidR="003640B4" w:rsidRPr="008953EF">
        <w:rPr>
          <w:rFonts w:ascii="Lato" w:hAnsi="Lato"/>
          <w:sz w:val="16"/>
          <w:szCs w:val="16"/>
        </w:rPr>
        <w:t xml:space="preserve">? </w:t>
      </w:r>
    </w:p>
    <w:p w14:paraId="1C20FC1B" w14:textId="14FE3B86"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Que signifie pour toi « avoir des relations sexuelles</w:t>
      </w:r>
      <w:r w:rsidR="003640B4" w:rsidRPr="008953EF">
        <w:rPr>
          <w:rFonts w:ascii="Lato" w:hAnsi="Lato"/>
          <w:sz w:val="16"/>
          <w:szCs w:val="16"/>
        </w:rPr>
        <w:t xml:space="preserve">? </w:t>
      </w:r>
    </w:p>
    <w:p w14:paraId="38746463" w14:textId="077066EF"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Te sens-tu en sécurité</w:t>
      </w:r>
      <w:r w:rsidR="003640B4" w:rsidRPr="008953EF">
        <w:rPr>
          <w:rFonts w:ascii="Lato" w:hAnsi="Lato"/>
          <w:sz w:val="16"/>
          <w:szCs w:val="16"/>
        </w:rPr>
        <w:t xml:space="preserve">? </w:t>
      </w:r>
    </w:p>
    <w:p w14:paraId="643BF5DE" w14:textId="1165C6F9" w:rsidR="003640B4" w:rsidRPr="008953EF" w:rsidRDefault="00B74649" w:rsidP="00732486">
      <w:pPr>
        <w:pStyle w:val="Endnote-Bullet-L2"/>
        <w:spacing w:after="0"/>
        <w:rPr>
          <w:rFonts w:ascii="Lato" w:hAnsi="Lato"/>
          <w:sz w:val="16"/>
          <w:szCs w:val="16"/>
        </w:rPr>
      </w:pPr>
      <w:r w:rsidRPr="008953EF">
        <w:rPr>
          <w:rFonts w:ascii="Lato" w:hAnsi="Lato"/>
          <w:sz w:val="16"/>
          <w:szCs w:val="16"/>
          <w:lang w:val="fr-CA"/>
        </w:rPr>
        <w:t>Est-ce que les relations sexuelles font mal</w:t>
      </w:r>
      <w:r w:rsidR="003640B4" w:rsidRPr="008953EF">
        <w:rPr>
          <w:rFonts w:ascii="Lato" w:hAnsi="Lato"/>
          <w:sz w:val="16"/>
          <w:szCs w:val="16"/>
        </w:rPr>
        <w:t xml:space="preserve">? </w:t>
      </w:r>
    </w:p>
    <w:p w14:paraId="6B541F8F" w14:textId="33D25EA6"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As-tu déjà eu une relation sexuelle avec une personne qui n’est pas ton petit ami ou ta petite amie</w:t>
      </w:r>
      <w:r w:rsidR="003640B4" w:rsidRPr="008953EF">
        <w:rPr>
          <w:rFonts w:ascii="Lato" w:hAnsi="Lato"/>
          <w:sz w:val="16"/>
          <w:szCs w:val="16"/>
        </w:rPr>
        <w:t xml:space="preserve">? </w:t>
      </w:r>
    </w:p>
    <w:p w14:paraId="154BAFF5" w14:textId="22628DF8"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Qui te parle de sexualité? Penses-tu savoir tout ce qu’il faut savoir sur la sexualité</w:t>
      </w:r>
      <w:r w:rsidR="003640B4" w:rsidRPr="008953EF">
        <w:rPr>
          <w:rFonts w:ascii="Lato" w:hAnsi="Lato"/>
          <w:sz w:val="16"/>
          <w:szCs w:val="16"/>
        </w:rPr>
        <w:t xml:space="preserve">? </w:t>
      </w:r>
    </w:p>
    <w:p w14:paraId="13A9F8FD" w14:textId="23222708"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As-tu des questions sur la sexualité</w:t>
      </w:r>
      <w:r w:rsidR="003640B4" w:rsidRPr="008953EF">
        <w:rPr>
          <w:rFonts w:ascii="Lato" w:hAnsi="Lato"/>
          <w:sz w:val="16"/>
          <w:szCs w:val="16"/>
        </w:rPr>
        <w:t xml:space="preserve">? </w:t>
      </w:r>
    </w:p>
    <w:p w14:paraId="7AC1B11D" w14:textId="3F0724FD"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Pourquoi est-il important d’être informé sur la sexualité</w:t>
      </w:r>
      <w:r w:rsidR="003640B4" w:rsidRPr="008953EF">
        <w:rPr>
          <w:rFonts w:ascii="Lato" w:hAnsi="Lato"/>
          <w:sz w:val="16"/>
          <w:szCs w:val="16"/>
        </w:rPr>
        <w:t xml:space="preserve">? </w:t>
      </w:r>
    </w:p>
    <w:p w14:paraId="73B49001" w14:textId="6D65CDD5"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Où pourrais-tu obtenir plus de renseignements sur la sexualité</w:t>
      </w:r>
      <w:r w:rsidR="003640B4" w:rsidRPr="008953EF">
        <w:rPr>
          <w:rFonts w:ascii="Lato" w:hAnsi="Lato"/>
          <w:sz w:val="16"/>
          <w:szCs w:val="16"/>
        </w:rPr>
        <w:t xml:space="preserve">? </w:t>
      </w:r>
    </w:p>
    <w:p w14:paraId="71057AE9" w14:textId="248342D8"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Comment sais-tu que tu es prêt(e) à avoir des relations sexuelles</w:t>
      </w:r>
      <w:r w:rsidR="003640B4" w:rsidRPr="008953EF">
        <w:rPr>
          <w:rFonts w:ascii="Lato" w:hAnsi="Lato"/>
          <w:sz w:val="16"/>
          <w:szCs w:val="16"/>
        </w:rPr>
        <w:t xml:space="preserve">? </w:t>
      </w:r>
    </w:p>
    <w:p w14:paraId="7A4922EB" w14:textId="57470E2E"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Que fais-tu si quelqu'un te demande d'avoir une relation sexuelle et que tu ne veux pas</w:t>
      </w:r>
      <w:r w:rsidR="003640B4" w:rsidRPr="008953EF">
        <w:rPr>
          <w:rFonts w:ascii="Lato" w:hAnsi="Lato"/>
          <w:sz w:val="16"/>
          <w:szCs w:val="16"/>
        </w:rPr>
        <w:t xml:space="preserve">? </w:t>
      </w:r>
    </w:p>
    <w:p w14:paraId="62CD8F53" w14:textId="56626494" w:rsidR="003640B4" w:rsidRPr="008953EF" w:rsidRDefault="00B74649" w:rsidP="00732486">
      <w:pPr>
        <w:pStyle w:val="Endnote-Bullet-L2"/>
        <w:spacing w:after="0"/>
        <w:rPr>
          <w:rFonts w:ascii="Lato" w:hAnsi="Lato"/>
          <w:sz w:val="16"/>
          <w:szCs w:val="16"/>
        </w:rPr>
      </w:pPr>
      <w:r w:rsidRPr="008953EF">
        <w:rPr>
          <w:rFonts w:ascii="Lato" w:hAnsi="Lato"/>
          <w:sz w:val="16"/>
          <w:szCs w:val="16"/>
          <w:lang w:val="fr-CA"/>
        </w:rPr>
        <w:t xml:space="preserve">Que fais-tu si la personne </w:t>
      </w:r>
      <w:proofErr w:type="gramStart"/>
      <w:r w:rsidRPr="008953EF">
        <w:rPr>
          <w:rFonts w:ascii="Lato" w:hAnsi="Lato"/>
          <w:sz w:val="16"/>
          <w:szCs w:val="16"/>
          <w:lang w:val="fr-CA"/>
        </w:rPr>
        <w:t>ne  t’écoute</w:t>
      </w:r>
      <w:proofErr w:type="gramEnd"/>
      <w:r w:rsidRPr="008953EF">
        <w:rPr>
          <w:rFonts w:ascii="Lato" w:hAnsi="Lato"/>
          <w:sz w:val="16"/>
          <w:szCs w:val="16"/>
          <w:lang w:val="fr-CA"/>
        </w:rPr>
        <w:t xml:space="preserve"> pas</w:t>
      </w:r>
      <w:r w:rsidR="003640B4" w:rsidRPr="008953EF">
        <w:rPr>
          <w:rFonts w:ascii="Lato" w:hAnsi="Lato"/>
          <w:sz w:val="16"/>
          <w:szCs w:val="16"/>
        </w:rPr>
        <w:t xml:space="preserve">? </w:t>
      </w:r>
    </w:p>
    <w:p w14:paraId="03004A08" w14:textId="34AA615E" w:rsidR="003640B4" w:rsidRPr="008953EF" w:rsidRDefault="00B74649" w:rsidP="00732486">
      <w:pPr>
        <w:pStyle w:val="Endnote-Bullet-L2"/>
        <w:spacing w:after="0"/>
        <w:rPr>
          <w:rFonts w:ascii="Lato" w:hAnsi="Lato"/>
          <w:sz w:val="16"/>
          <w:szCs w:val="16"/>
        </w:rPr>
      </w:pPr>
      <w:r w:rsidRPr="008953EF">
        <w:rPr>
          <w:rFonts w:ascii="Lato" w:hAnsi="Lato"/>
          <w:sz w:val="16"/>
          <w:szCs w:val="16"/>
          <w:lang w:val="fr-CA"/>
        </w:rPr>
        <w:t>Que sais-tu des infections transmises sexuellement</w:t>
      </w:r>
      <w:r w:rsidR="003640B4" w:rsidRPr="008953EF">
        <w:rPr>
          <w:rFonts w:ascii="Lato" w:hAnsi="Lato"/>
          <w:sz w:val="16"/>
          <w:szCs w:val="16"/>
        </w:rPr>
        <w:t xml:space="preserve">? </w:t>
      </w:r>
    </w:p>
    <w:p w14:paraId="3D24D771" w14:textId="5682DCAA"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Utilise-tu des moyens de protections contre les infections transmises sexuellement</w:t>
      </w:r>
      <w:r w:rsidR="003640B4" w:rsidRPr="008953EF">
        <w:rPr>
          <w:rFonts w:ascii="Lato" w:hAnsi="Lato"/>
          <w:sz w:val="16"/>
          <w:szCs w:val="16"/>
        </w:rPr>
        <w:t xml:space="preserve">? </w:t>
      </w:r>
    </w:p>
    <w:p w14:paraId="4969EF48" w14:textId="1D20D1C8" w:rsidR="003640B4" w:rsidRPr="008953EF" w:rsidRDefault="00B74649" w:rsidP="00732486">
      <w:pPr>
        <w:pStyle w:val="Endnote-Bullet-L2"/>
        <w:spacing w:after="0"/>
        <w:rPr>
          <w:rFonts w:ascii="Lato" w:hAnsi="Lato"/>
          <w:sz w:val="16"/>
          <w:szCs w:val="16"/>
        </w:rPr>
      </w:pPr>
      <w:r w:rsidRPr="008953EF">
        <w:rPr>
          <w:rFonts w:ascii="Lato" w:hAnsi="Lato" w:cstheme="minorHAnsi"/>
          <w:color w:val="000000"/>
          <w:sz w:val="16"/>
          <w:szCs w:val="16"/>
          <w:lang w:val="fr-CA"/>
        </w:rPr>
        <w:t>Que sais-tu de la grossesse et de comment on devient enceinte</w:t>
      </w:r>
      <w:r w:rsidR="003640B4" w:rsidRPr="008953EF">
        <w:rPr>
          <w:rFonts w:ascii="Lato" w:hAnsi="Lato"/>
          <w:sz w:val="16"/>
          <w:szCs w:val="16"/>
        </w:rPr>
        <w:t xml:space="preserve">? </w:t>
      </w:r>
    </w:p>
    <w:p w14:paraId="000D76DA" w14:textId="2F9C33EB" w:rsidR="003640B4" w:rsidRPr="008953EF" w:rsidRDefault="00B74649" w:rsidP="0069631F">
      <w:pPr>
        <w:pStyle w:val="Endnote-Bullet-L2"/>
        <w:spacing w:after="0"/>
        <w:rPr>
          <w:rFonts w:ascii="Lato" w:hAnsi="Lato"/>
          <w:sz w:val="16"/>
          <w:szCs w:val="16"/>
        </w:rPr>
      </w:pPr>
      <w:r w:rsidRPr="008953EF">
        <w:rPr>
          <w:rFonts w:ascii="Lato" w:hAnsi="Lato" w:cstheme="minorHAnsi"/>
          <w:color w:val="000000"/>
          <w:sz w:val="16"/>
          <w:szCs w:val="16"/>
          <w:lang w:val="fr-CA"/>
        </w:rPr>
        <w:t>As-tu besoin de protection afin de ne pas devenir enceinte</w:t>
      </w:r>
      <w:r w:rsidR="003640B4" w:rsidRPr="008953EF">
        <w:rPr>
          <w:rFonts w:ascii="Lato" w:hAnsi="Lato"/>
          <w:sz w:val="16"/>
          <w:szCs w:val="16"/>
        </w:rPr>
        <w:t xml:space="preserve">? </w:t>
      </w:r>
    </w:p>
    <w:p w14:paraId="5CFC33D0" w14:textId="1669DE6D" w:rsidR="003640B4" w:rsidRPr="008953EF" w:rsidRDefault="00B74649" w:rsidP="00A05F23">
      <w:pPr>
        <w:pStyle w:val="Endnote-Context"/>
        <w:rPr>
          <w:rFonts w:ascii="Lato" w:hAnsi="Lato"/>
          <w:sz w:val="16"/>
          <w:szCs w:val="16"/>
        </w:rPr>
      </w:pPr>
      <w:r w:rsidRPr="008953EF">
        <w:rPr>
          <w:rFonts w:ascii="Lato" w:hAnsi="Lato" w:cstheme="minorHAnsi"/>
          <w:color w:val="000000"/>
          <w:sz w:val="16"/>
          <w:szCs w:val="16"/>
          <w:lang w:val="fr-CA"/>
        </w:rPr>
        <w:t>Les discussions sur la sexualité peuvent varier selon le niveau de déficience des patients ayant des DID. Pour les patients ayant des DID légères, transmettez plusieurs fois le même message. Corrigez ou donnez de l’information sur les fausses croyances. Aidez le patient à peser le pour et le contre. Vérifiez qu'il a bien compris, réfléchissez, soyez honnête et direct. Pour les patients ayant des DID modérées ou sévères, la discussion pourrait se faire davantage avec la personne aidante, celle qui aide dans la prise de décision ou le ou la mandataire spécial(e)</w:t>
      </w:r>
      <w:r w:rsidR="003640B4" w:rsidRPr="008953EF">
        <w:rPr>
          <w:rFonts w:ascii="Lato" w:hAnsi="Lato"/>
          <w:sz w:val="16"/>
          <w:szCs w:val="16"/>
        </w:rPr>
        <w:t>.</w:t>
      </w:r>
    </w:p>
    <w:p w14:paraId="525C879B" w14:textId="03ED280B" w:rsidR="003640B4" w:rsidRPr="008953EF" w:rsidRDefault="00B74649" w:rsidP="00A05F23">
      <w:pPr>
        <w:pStyle w:val="Endnote-Context"/>
        <w:rPr>
          <w:rFonts w:ascii="Lato" w:hAnsi="Lato"/>
          <w:sz w:val="16"/>
          <w:szCs w:val="16"/>
        </w:rPr>
      </w:pPr>
      <w:r w:rsidRPr="008953EF">
        <w:rPr>
          <w:rFonts w:ascii="Lato" w:hAnsi="Lato" w:cstheme="minorHAnsi"/>
          <w:color w:val="000000"/>
          <w:sz w:val="16"/>
          <w:szCs w:val="16"/>
          <w:lang w:val="fr-CA"/>
        </w:rPr>
        <w:t>Posez des questions au sujet des relations, de l’intimité et de la sexualité du patient (p. ex., comportements sexuels, identité de genre, orientation sexuelle, risques génétiques). Posez ces questions directement aux patients (hommes et femmes), à leur famille ou aux autres aidants</w:t>
      </w:r>
      <w:r w:rsidR="003640B4" w:rsidRPr="008953EF">
        <w:rPr>
          <w:rFonts w:ascii="Lato" w:hAnsi="Lato"/>
          <w:sz w:val="16"/>
          <w:szCs w:val="16"/>
        </w:rPr>
        <w:t>.</w:t>
      </w:r>
    </w:p>
    <w:p w14:paraId="42CB255E" w14:textId="270AA705" w:rsidR="003640B4" w:rsidRPr="008953EF" w:rsidRDefault="00B74649" w:rsidP="00A05F23">
      <w:pPr>
        <w:pStyle w:val="Endnote-Context"/>
        <w:rPr>
          <w:rFonts w:ascii="Lato" w:hAnsi="Lato"/>
          <w:sz w:val="16"/>
          <w:szCs w:val="16"/>
        </w:rPr>
      </w:pPr>
      <w:r w:rsidRPr="008953EF">
        <w:rPr>
          <w:rFonts w:ascii="Lato" w:hAnsi="Lato" w:cstheme="minorHAnsi"/>
          <w:color w:val="000000"/>
          <w:sz w:val="16"/>
          <w:szCs w:val="16"/>
          <w:lang w:val="fr-CA"/>
        </w:rPr>
        <w:t>Posez des questions au sujet de l'autostimulation et de la masturbation, afin, entre autres, d'informer le patient et la personne aidante que ces sujets peuvent être importants</w:t>
      </w:r>
      <w:r w:rsidR="003640B4" w:rsidRPr="008953EF">
        <w:rPr>
          <w:rFonts w:ascii="Lato" w:hAnsi="Lato"/>
          <w:sz w:val="16"/>
          <w:szCs w:val="16"/>
        </w:rPr>
        <w:t>.</w:t>
      </w:r>
    </w:p>
    <w:p w14:paraId="06655BBF" w14:textId="48A5FBC8" w:rsidR="003640B4" w:rsidRPr="008953EF" w:rsidRDefault="00000C15" w:rsidP="00A05F23">
      <w:pPr>
        <w:pStyle w:val="Endnote-Context"/>
        <w:rPr>
          <w:rFonts w:ascii="Lato" w:hAnsi="Lato"/>
          <w:sz w:val="16"/>
          <w:szCs w:val="16"/>
        </w:rPr>
      </w:pPr>
      <w:r w:rsidRPr="008953EF">
        <w:rPr>
          <w:rFonts w:ascii="Lato" w:hAnsi="Lato" w:cstheme="minorHAnsi"/>
          <w:color w:val="000000"/>
          <w:sz w:val="16"/>
          <w:szCs w:val="16"/>
          <w:lang w:val="fr-CA"/>
        </w:rPr>
        <w:t>Abordez les projets familiaux en cas de grossesse involontaire. Pour les femmes et les hommes à risque, demandez au patient et/ou au/à la mandataire spécial(e) s'il(s) désire(nt) discuter des avantages et des inconvénients de la contraception</w:t>
      </w:r>
      <w:r w:rsidR="003640B4" w:rsidRPr="008953EF">
        <w:rPr>
          <w:rFonts w:ascii="Lato" w:hAnsi="Lato"/>
          <w:sz w:val="16"/>
          <w:szCs w:val="16"/>
        </w:rPr>
        <w:t>.</w:t>
      </w:r>
    </w:p>
    <w:p w14:paraId="0F96DA6D" w14:textId="092A0992" w:rsidR="003640B4" w:rsidRPr="008953EF" w:rsidRDefault="00000C15" w:rsidP="00A05F23">
      <w:pPr>
        <w:pStyle w:val="Endnote-Context"/>
        <w:rPr>
          <w:rFonts w:ascii="Lato" w:hAnsi="Lato"/>
          <w:sz w:val="16"/>
          <w:szCs w:val="16"/>
        </w:rPr>
      </w:pPr>
      <w:r w:rsidRPr="008953EF">
        <w:rPr>
          <w:rFonts w:ascii="Lato" w:hAnsi="Lato" w:cstheme="minorHAnsi"/>
          <w:color w:val="000000"/>
          <w:sz w:val="16"/>
          <w:szCs w:val="16"/>
          <w:lang w:val="fr-CA"/>
        </w:rPr>
        <w:t>Si cela est nécessaire et si les services sont disponibles, recommandez des services de consultation et d’éducation qui sont adaptés aux besoins des personnes ayant des DID</w:t>
      </w:r>
      <w:r w:rsidR="003640B4" w:rsidRPr="008953EF">
        <w:rPr>
          <w:rFonts w:ascii="Lato" w:hAnsi="Lato"/>
          <w:sz w:val="16"/>
          <w:szCs w:val="16"/>
        </w:rPr>
        <w:t>.</w:t>
      </w:r>
    </w:p>
  </w:endnote>
  <w:endnote w:id="22">
    <w:p w14:paraId="07B6A9AC" w14:textId="0849BB7B" w:rsidR="003640B4" w:rsidRDefault="003640B4" w:rsidP="0069631F">
      <w:pPr>
        <w:pStyle w:val="Endnote-H4"/>
        <w:spacing w:after="0"/>
      </w:pPr>
      <w:r>
        <w:rPr>
          <w:rStyle w:val="EndnoteReference"/>
        </w:rPr>
        <w:endnoteRef/>
      </w:r>
      <w:r>
        <w:t xml:space="preserve"> </w:t>
      </w:r>
      <w:r w:rsidR="00CA480E" w:rsidRPr="00CA480E">
        <w:t>Musculo-</w:t>
      </w:r>
      <w:proofErr w:type="spellStart"/>
      <w:r w:rsidR="00CA480E" w:rsidRPr="00CA480E">
        <w:t>squelettique</w:t>
      </w:r>
      <w:proofErr w:type="spellEnd"/>
      <w:r w:rsidR="00CA480E" w:rsidRPr="00CA480E">
        <w:t xml:space="preserve"> (</w:t>
      </w:r>
      <w:proofErr w:type="spellStart"/>
      <w:r w:rsidR="00CA480E" w:rsidRPr="00CA480E">
        <w:t>Appareil</w:t>
      </w:r>
      <w:proofErr w:type="spellEnd"/>
      <w:r w:rsidR="00CA480E" w:rsidRPr="00CA480E">
        <w:t xml:space="preserve"> </w:t>
      </w:r>
      <w:proofErr w:type="spellStart"/>
      <w:r w:rsidR="00CA480E" w:rsidRPr="00CA480E">
        <w:t>locomoteur</w:t>
      </w:r>
      <w:proofErr w:type="spellEnd"/>
      <w:r w:rsidR="00CA480E" w:rsidRPr="00CA480E">
        <w:t>)</w:t>
      </w:r>
      <w:r>
        <w:t xml:space="preserve"> </w:t>
      </w:r>
    </w:p>
    <w:p w14:paraId="0597D659" w14:textId="52E780F8" w:rsidR="003640B4" w:rsidRPr="008953EF" w:rsidRDefault="00CA480E" w:rsidP="00732486">
      <w:pPr>
        <w:pStyle w:val="Endnote-Bullet-L1"/>
        <w:spacing w:after="0"/>
        <w:rPr>
          <w:rFonts w:ascii="Lato" w:hAnsi="Lato"/>
          <w:sz w:val="16"/>
          <w:szCs w:val="16"/>
        </w:rPr>
      </w:pPr>
      <w:r w:rsidRPr="008953EF">
        <w:rPr>
          <w:rFonts w:ascii="Lato" w:hAnsi="Lato" w:cstheme="minorHAnsi"/>
          <w:color w:val="000000"/>
          <w:sz w:val="16"/>
          <w:szCs w:val="16"/>
          <w:lang w:val="fr-CA"/>
        </w:rPr>
        <w:t>Adaptations pour la mobilité et l'activité physique (p. ex., fauteuil roulant, siège modifié, attelles, orthèses et dispositifs de sécurité comme des rampes)</w:t>
      </w:r>
      <w:r w:rsidR="00104177" w:rsidRPr="008953EF">
        <w:rPr>
          <w:rFonts w:ascii="Lato" w:hAnsi="Lato"/>
          <w:sz w:val="16"/>
          <w:szCs w:val="16"/>
        </w:rPr>
        <w:t>.</w:t>
      </w:r>
    </w:p>
    <w:p w14:paraId="2D06C3EA" w14:textId="2A1DAF63" w:rsidR="003640B4" w:rsidRPr="008953EF" w:rsidRDefault="00CA480E" w:rsidP="00732486">
      <w:pPr>
        <w:pStyle w:val="Endnote-Bullet-L1"/>
        <w:spacing w:after="0"/>
        <w:rPr>
          <w:rFonts w:ascii="Lato" w:hAnsi="Lato"/>
          <w:sz w:val="16"/>
          <w:szCs w:val="16"/>
        </w:rPr>
      </w:pPr>
      <w:r w:rsidRPr="008953EF">
        <w:rPr>
          <w:rFonts w:ascii="Lato" w:hAnsi="Lato" w:cstheme="minorHAnsi"/>
          <w:color w:val="000000"/>
          <w:sz w:val="16"/>
          <w:szCs w:val="16"/>
          <w:lang w:val="fr-CA"/>
        </w:rPr>
        <w:t>Cors, callosités, pied d'athlète et ongles incarnés, ainsi que les personnes à risque en raison d'un diabète comorbide</w:t>
      </w:r>
      <w:r w:rsidR="00104177" w:rsidRPr="008953EF">
        <w:rPr>
          <w:rFonts w:ascii="Lato" w:hAnsi="Lato"/>
          <w:sz w:val="16"/>
          <w:szCs w:val="16"/>
        </w:rPr>
        <w:t>.</w:t>
      </w:r>
    </w:p>
    <w:p w14:paraId="7796A898" w14:textId="4C332AB3" w:rsidR="003640B4" w:rsidRPr="008953EF" w:rsidRDefault="00CA480E" w:rsidP="00732486">
      <w:pPr>
        <w:pStyle w:val="Endnote-Bullet-L1"/>
        <w:spacing w:after="0"/>
        <w:rPr>
          <w:rFonts w:ascii="Lato" w:hAnsi="Lato"/>
          <w:sz w:val="16"/>
          <w:szCs w:val="16"/>
        </w:rPr>
      </w:pPr>
      <w:r w:rsidRPr="008953EF">
        <w:rPr>
          <w:rFonts w:ascii="Lato" w:hAnsi="Lato" w:cstheme="minorHAnsi"/>
          <w:color w:val="000000"/>
          <w:sz w:val="16"/>
          <w:szCs w:val="16"/>
          <w:lang w:val="fr-CA"/>
        </w:rPr>
        <w:t>Évaluez la présence d'ostéoporose et le risque de fracture pour tous les groupes d'âge</w:t>
      </w:r>
      <w:r w:rsidR="00104177" w:rsidRPr="008953EF">
        <w:rPr>
          <w:rFonts w:ascii="Lato" w:hAnsi="Lato"/>
          <w:sz w:val="16"/>
          <w:szCs w:val="16"/>
        </w:rPr>
        <w:t>.</w:t>
      </w:r>
      <w:r w:rsidR="003640B4" w:rsidRPr="008953EF">
        <w:rPr>
          <w:rFonts w:ascii="Lato" w:hAnsi="Lato"/>
          <w:sz w:val="16"/>
          <w:szCs w:val="16"/>
        </w:rPr>
        <w:t xml:space="preserve"> </w:t>
      </w:r>
    </w:p>
    <w:p w14:paraId="3B85902D" w14:textId="4FC78638" w:rsidR="003640B4" w:rsidRPr="008953EF" w:rsidRDefault="00CA480E" w:rsidP="0069631F">
      <w:pPr>
        <w:pStyle w:val="Endnote-Bullet-L1"/>
        <w:spacing w:after="0"/>
        <w:rPr>
          <w:rFonts w:ascii="Lato" w:hAnsi="Lato"/>
          <w:sz w:val="16"/>
          <w:szCs w:val="16"/>
        </w:rPr>
      </w:pPr>
      <w:r w:rsidRPr="008953EF">
        <w:rPr>
          <w:rFonts w:ascii="Lato" w:hAnsi="Lato" w:cstheme="minorHAnsi"/>
          <w:color w:val="000000"/>
          <w:sz w:val="16"/>
          <w:szCs w:val="16"/>
          <w:lang w:val="fr-CA"/>
        </w:rPr>
        <w:t>Évaluez l’apport en calcium et en vitamine D et supplémentez-le au besoin, sauf en cas de contre-indications (p. ex., syndrome de William</w:t>
      </w:r>
      <w:r w:rsidR="003640B4" w:rsidRPr="008953EF">
        <w:rPr>
          <w:rFonts w:ascii="Lato" w:hAnsi="Lato"/>
          <w:sz w:val="16"/>
          <w:szCs w:val="16"/>
        </w:rPr>
        <w:t>).</w:t>
      </w:r>
    </w:p>
    <w:p w14:paraId="0DF8D861" w14:textId="0F3DE2B0"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L'arthrose, une scoliose, les contractures, la spasticité et des problèmes de mobilité peuvent être une source de douleur et de changements de comportement</w:t>
      </w:r>
      <w:r w:rsidR="003640B4" w:rsidRPr="008953EF">
        <w:rPr>
          <w:rFonts w:ascii="Lato" w:hAnsi="Lato"/>
          <w:sz w:val="16"/>
          <w:szCs w:val="16"/>
        </w:rPr>
        <w:t>.</w:t>
      </w:r>
    </w:p>
    <w:p w14:paraId="1E91C666" w14:textId="75C20DE3"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Consultez un physiothérapeute ou un ergothérapeute, un physiatre ou un spécialiste des soins des pieds au sujet d’adaptations pour la mobilité et l’activité physique</w:t>
      </w:r>
      <w:r w:rsidR="003640B4" w:rsidRPr="008953EF">
        <w:rPr>
          <w:rFonts w:ascii="Lato" w:hAnsi="Lato"/>
          <w:sz w:val="16"/>
          <w:szCs w:val="16"/>
        </w:rPr>
        <w:t>.</w:t>
      </w:r>
    </w:p>
    <w:p w14:paraId="597503A1" w14:textId="2203DB6B"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 xml:space="preserve">Consulter un podiatre, un </w:t>
      </w:r>
      <w:proofErr w:type="spellStart"/>
      <w:r w:rsidRPr="008953EF">
        <w:rPr>
          <w:rFonts w:ascii="Lato" w:hAnsi="Lato" w:cstheme="minorHAnsi"/>
          <w:color w:val="000000"/>
          <w:sz w:val="16"/>
          <w:szCs w:val="16"/>
          <w:lang w:val="fr-CA"/>
        </w:rPr>
        <w:t>chiropodiste</w:t>
      </w:r>
      <w:proofErr w:type="spellEnd"/>
      <w:r w:rsidRPr="008953EF">
        <w:rPr>
          <w:rFonts w:ascii="Lato" w:hAnsi="Lato" w:cstheme="minorHAnsi"/>
          <w:color w:val="000000"/>
          <w:sz w:val="16"/>
          <w:szCs w:val="16"/>
          <w:lang w:val="fr-CA"/>
        </w:rPr>
        <w:t xml:space="preserve"> ou une infirmière spécialisée dans les soins des pieds pour un grand nombre de problèmes liés aux soins des pieds chez les adultes souffrant de DID</w:t>
      </w:r>
      <w:r w:rsidR="003640B4" w:rsidRPr="008953EF">
        <w:rPr>
          <w:rFonts w:ascii="Lato" w:hAnsi="Lato"/>
          <w:sz w:val="16"/>
          <w:szCs w:val="16"/>
        </w:rPr>
        <w:t>.</w:t>
      </w:r>
    </w:p>
    <w:p w14:paraId="791929C0" w14:textId="16A6F1E9" w:rsidR="003640B4" w:rsidRPr="008953EF" w:rsidRDefault="00CA480E" w:rsidP="00CA480E">
      <w:pPr>
        <w:pStyle w:val="Endnote-Context"/>
        <w:rPr>
          <w:rFonts w:ascii="Lato" w:hAnsi="Lato"/>
          <w:sz w:val="16"/>
          <w:szCs w:val="16"/>
          <w:lang w:val="fr-CA"/>
        </w:rPr>
      </w:pPr>
      <w:r w:rsidRPr="00CA480E">
        <w:rPr>
          <w:rFonts w:ascii="Lato" w:hAnsi="Lato"/>
          <w:sz w:val="16"/>
          <w:szCs w:val="16"/>
          <w:lang w:val="fr-CA"/>
        </w:rPr>
        <w:t>Concernant l'ostéoporose: Effectuez un test de densité minérale osseuse tôt à l'âge adulte si le risque est élevé (p. ex., syndrome de Down, Prader-</w:t>
      </w:r>
      <w:proofErr w:type="spellStart"/>
      <w:r w:rsidRPr="00CA480E">
        <w:rPr>
          <w:rFonts w:ascii="Lato" w:hAnsi="Lato"/>
          <w:sz w:val="16"/>
          <w:szCs w:val="16"/>
          <w:lang w:val="fr-CA"/>
        </w:rPr>
        <w:t>Willi</w:t>
      </w:r>
      <w:proofErr w:type="spellEnd"/>
      <w:r w:rsidRPr="00CA480E">
        <w:rPr>
          <w:rFonts w:ascii="Lato" w:hAnsi="Lato"/>
          <w:sz w:val="16"/>
          <w:szCs w:val="16"/>
          <w:lang w:val="fr-CA"/>
        </w:rPr>
        <w:t>, sédentarité, faible masse corporelle, risque de chutes accru- y compris la nycturie,</w:t>
      </w:r>
      <w:r w:rsidRPr="008953EF">
        <w:rPr>
          <w:rFonts w:ascii="Lato" w:hAnsi="Lato"/>
          <w:sz w:val="16"/>
          <w:szCs w:val="16"/>
          <w:lang w:val="fr-CA"/>
        </w:rPr>
        <w:t xml:space="preserve"> l’hypogonadisme, l’hyperprolactinémie, les anticonvulsivant et d’autres médicaments</w:t>
      </w:r>
      <w:r w:rsidR="003640B4" w:rsidRPr="008953EF">
        <w:rPr>
          <w:rFonts w:ascii="Lato" w:hAnsi="Lato"/>
          <w:sz w:val="16"/>
          <w:szCs w:val="16"/>
        </w:rPr>
        <w:t xml:space="preserve">). </w:t>
      </w:r>
      <w:r w:rsidRPr="008953EF">
        <w:rPr>
          <w:rFonts w:ascii="Lato" w:hAnsi="Lato"/>
          <w:sz w:val="16"/>
          <w:szCs w:val="16"/>
          <w:lang w:val="fr-CA"/>
        </w:rPr>
        <w:t>Demandez l'avis d'un radiologiste au sujet de méthodes alternatives pour évaluer les risques de fractures de fragilisation lorsque le test nucléaire habituel de densité minérale osseuse n'est pas possible. Par exemple, en effectuant la mesure uniquement sur l'avant-bras</w:t>
      </w:r>
      <w:r w:rsidR="003640B4" w:rsidRPr="008953EF">
        <w:rPr>
          <w:rFonts w:ascii="Lato" w:hAnsi="Lato"/>
          <w:sz w:val="16"/>
          <w:szCs w:val="16"/>
        </w:rPr>
        <w:t xml:space="preserve">. </w:t>
      </w:r>
      <w:r w:rsidRPr="008953EF">
        <w:rPr>
          <w:rFonts w:ascii="Lato" w:hAnsi="Lato" w:cstheme="minorHAnsi"/>
          <w:color w:val="000000"/>
          <w:sz w:val="16"/>
          <w:szCs w:val="16"/>
          <w:lang w:val="fr-CA"/>
        </w:rPr>
        <w:t>Tenez compte des problèmes médicaux concomitants et des médicaments chez les patients ayant des DID lors du choix d’un traitement pour l’ostéoporose (p. ex., insuffisance rénale ou problèmes de déglutition) et demandez l’avis d’un spécialiste (p. ex., un endocrinologiste ou un pharmacien</w:t>
      </w:r>
      <w:r w:rsidR="003640B4" w:rsidRPr="008953EF">
        <w:rPr>
          <w:rFonts w:ascii="Lato" w:hAnsi="Lato"/>
          <w:sz w:val="16"/>
          <w:szCs w:val="16"/>
        </w:rPr>
        <w:t>).</w:t>
      </w:r>
    </w:p>
    <w:p w14:paraId="349E5458" w14:textId="5274294B"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Concernant le risque de chutes : Consultez un physiothérapeute ou un ergothérapeute pour obtenir une évaluation des risques de chute, y compris le lieu de vie, les aides à la mobilité, les effets secondaires de la médication (p. ex., des anticonvulsivants, des antidépresseurs, des antihypertenseurs, des benzodiazépines, des narcotiques, des neuroleptiques</w:t>
      </w:r>
      <w:r w:rsidR="003640B4" w:rsidRPr="008953EF">
        <w:rPr>
          <w:rFonts w:ascii="Lato" w:hAnsi="Lato"/>
          <w:sz w:val="16"/>
          <w:szCs w:val="16"/>
        </w:rPr>
        <w:t>).</w:t>
      </w:r>
    </w:p>
  </w:endnote>
  <w:endnote w:id="23">
    <w:p w14:paraId="66F77F95" w14:textId="511759A3" w:rsidR="003640B4" w:rsidRDefault="003640B4" w:rsidP="0069631F">
      <w:pPr>
        <w:pStyle w:val="Endnote-H4"/>
        <w:spacing w:after="0"/>
      </w:pPr>
      <w:r>
        <w:rPr>
          <w:rStyle w:val="EndnoteReference"/>
        </w:rPr>
        <w:endnoteRef/>
      </w:r>
      <w:r>
        <w:t xml:space="preserve"> </w:t>
      </w:r>
      <w:proofErr w:type="spellStart"/>
      <w:r w:rsidR="00CA480E">
        <w:rPr>
          <w:rFonts w:cstheme="minorHAnsi"/>
          <w:color w:val="000000"/>
        </w:rPr>
        <w:t>Neurologique</w:t>
      </w:r>
      <w:proofErr w:type="spellEnd"/>
      <w:r>
        <w:t xml:space="preserve"> </w:t>
      </w:r>
    </w:p>
    <w:p w14:paraId="3FE65AA2" w14:textId="78F6791F" w:rsidR="003640B4" w:rsidRPr="008953EF" w:rsidRDefault="00CA480E" w:rsidP="0069631F">
      <w:pPr>
        <w:pStyle w:val="Endnote-Bullet-L1"/>
        <w:spacing w:after="0"/>
        <w:rPr>
          <w:rFonts w:ascii="Lato" w:hAnsi="Lato"/>
          <w:sz w:val="16"/>
          <w:szCs w:val="16"/>
        </w:rPr>
      </w:pPr>
      <w:r w:rsidRPr="008953EF">
        <w:rPr>
          <w:rFonts w:ascii="Lato" w:hAnsi="Lato"/>
          <w:sz w:val="16"/>
          <w:szCs w:val="16"/>
          <w:lang w:val="fr-CA"/>
        </w:rPr>
        <w:t xml:space="preserve">Révisez régulièrement les médicaments antiépileptiques (p. ex., tous les 3 à 6 mois) et envisagez de donner au patient et à son aidant une fiche de contrôle de l'épilepsie pour le prochain examen périodique, p. </w:t>
      </w:r>
      <w:proofErr w:type="gramStart"/>
      <w:r w:rsidRPr="008953EF">
        <w:rPr>
          <w:rFonts w:ascii="Lato" w:hAnsi="Lato"/>
          <w:sz w:val="16"/>
          <w:szCs w:val="16"/>
          <w:lang w:val="fr-CA"/>
        </w:rPr>
        <w:t>ex,  ‘</w:t>
      </w:r>
      <w:proofErr w:type="gramEnd"/>
      <w:r w:rsidRPr="008953EF">
        <w:rPr>
          <w:rFonts w:ascii="Lato" w:hAnsi="Lato"/>
          <w:sz w:val="16"/>
          <w:szCs w:val="16"/>
          <w:lang w:val="fr-CA"/>
        </w:rPr>
        <w:t>Crises d’épilepsie- Registre pour établir une base de référence’ et ‘Crises d’épilepsie : Tableau de fréquence annuelle’, tableaux qui font partie du groupe énuméré sur le lien ci-dessous</w:t>
      </w:r>
      <w:r w:rsidR="003640B4" w:rsidRPr="008953EF">
        <w:rPr>
          <w:rFonts w:ascii="Lato" w:hAnsi="Lato"/>
          <w:sz w:val="16"/>
          <w:szCs w:val="16"/>
        </w:rPr>
        <w:t xml:space="preserve">. </w:t>
      </w:r>
    </w:p>
    <w:p w14:paraId="032FDB16" w14:textId="1CF75F39" w:rsidR="003640B4" w:rsidRPr="008953EF" w:rsidRDefault="00CA480E" w:rsidP="0069631F">
      <w:pPr>
        <w:pStyle w:val="Endnote-Bullet-L1"/>
        <w:spacing w:after="0"/>
        <w:rPr>
          <w:rFonts w:ascii="Lato" w:hAnsi="Lato"/>
          <w:sz w:val="16"/>
          <w:szCs w:val="16"/>
        </w:rPr>
      </w:pPr>
      <w:r w:rsidRPr="008953EF">
        <w:rPr>
          <w:rFonts w:ascii="Lato" w:hAnsi="Lato" w:cstheme="minorHAnsi"/>
          <w:color w:val="000000"/>
          <w:sz w:val="16"/>
          <w:szCs w:val="16"/>
          <w:lang w:val="fr-CA"/>
        </w:rPr>
        <w:t>Envisagez de consulter un spécialiste pour la gestion de l’épilepsie</w:t>
      </w:r>
      <w:r w:rsidR="003640B4" w:rsidRPr="008953EF">
        <w:rPr>
          <w:rFonts w:ascii="Lato" w:hAnsi="Lato"/>
          <w:sz w:val="16"/>
          <w:szCs w:val="16"/>
        </w:rPr>
        <w:t xml:space="preserve">. </w:t>
      </w:r>
    </w:p>
    <w:p w14:paraId="5DF4937D" w14:textId="42D44E68" w:rsidR="003640B4" w:rsidRPr="008953EF" w:rsidRDefault="00CA480E"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Élaborez un plan d'action de </w:t>
      </w:r>
      <w:proofErr w:type="gramStart"/>
      <w:r w:rsidRPr="008953EF">
        <w:rPr>
          <w:rFonts w:ascii="Lato" w:hAnsi="Lato" w:cstheme="minorHAnsi"/>
          <w:color w:val="000000"/>
          <w:sz w:val="16"/>
          <w:szCs w:val="16"/>
          <w:lang w:val="fr-CA"/>
        </w:rPr>
        <w:t>santé  complet</w:t>
      </w:r>
      <w:proofErr w:type="gramEnd"/>
      <w:r w:rsidRPr="008953EF">
        <w:rPr>
          <w:rFonts w:ascii="Lato" w:hAnsi="Lato" w:cstheme="minorHAnsi"/>
          <w:color w:val="000000"/>
          <w:sz w:val="16"/>
          <w:szCs w:val="16"/>
          <w:lang w:val="fr-CA"/>
        </w:rPr>
        <w:t xml:space="preserve"> pour l'épilepsie en </w:t>
      </w:r>
      <w:proofErr w:type="spellStart"/>
      <w:r w:rsidRPr="008953EF">
        <w:rPr>
          <w:rFonts w:ascii="Lato" w:hAnsi="Lato" w:cstheme="minorHAnsi"/>
          <w:color w:val="000000"/>
          <w:sz w:val="16"/>
          <w:szCs w:val="16"/>
          <w:lang w:val="fr-CA"/>
        </w:rPr>
        <w:t>implicant</w:t>
      </w:r>
      <w:proofErr w:type="spellEnd"/>
      <w:r w:rsidRPr="008953EF">
        <w:rPr>
          <w:rFonts w:ascii="Lato" w:hAnsi="Lato" w:cstheme="minorHAnsi"/>
          <w:color w:val="000000"/>
          <w:sz w:val="16"/>
          <w:szCs w:val="16"/>
          <w:lang w:val="fr-CA"/>
        </w:rPr>
        <w:t xml:space="preserve"> les patients, la famille et les autres aidant(e)s. Recommandez aux patients et à leurs personnes aidantes d'avoir un plan d'action en cas de crises d’épilepsie et pour les situations urgentes</w:t>
      </w:r>
      <w:r w:rsidR="003640B4" w:rsidRPr="008953EF">
        <w:rPr>
          <w:rFonts w:ascii="Lato" w:hAnsi="Lato"/>
          <w:sz w:val="16"/>
          <w:szCs w:val="16"/>
        </w:rPr>
        <w:t>.</w:t>
      </w:r>
    </w:p>
    <w:p w14:paraId="0ACAFA9B" w14:textId="657A377E" w:rsidR="003640B4" w:rsidRPr="008953EF" w:rsidRDefault="00CA480E" w:rsidP="0069631F">
      <w:pPr>
        <w:pStyle w:val="Endnote-Bullet-L1"/>
        <w:spacing w:after="0"/>
        <w:rPr>
          <w:rFonts w:ascii="Lato" w:hAnsi="Lato"/>
          <w:sz w:val="16"/>
          <w:szCs w:val="16"/>
        </w:rPr>
      </w:pPr>
      <w:r w:rsidRPr="008953EF">
        <w:rPr>
          <w:rFonts w:ascii="Lato" w:hAnsi="Lato"/>
          <w:sz w:val="16"/>
          <w:szCs w:val="16"/>
          <w:lang w:val="fr-CA"/>
        </w:rPr>
        <w:t>Documenter tout symptôme ou signe neurologique général ou focal/localisé, nouveau ou ancien</w:t>
      </w:r>
      <w:r w:rsidR="003640B4" w:rsidRPr="008953EF">
        <w:rPr>
          <w:rFonts w:ascii="Lato" w:hAnsi="Lato"/>
          <w:sz w:val="16"/>
          <w:szCs w:val="16"/>
        </w:rPr>
        <w:t xml:space="preserve">. </w:t>
      </w:r>
    </w:p>
    <w:p w14:paraId="289539D4" w14:textId="61A91CF7"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Les troubles convulsifs sont plus courants chez les personnes ayant des DID que dans l’ensemble de la population, et sont souvent plus difficiles à reconnaître, à évaluer et à contrôler. Ils peuvent être envahissants dans la vie des patients et de leurs proches aidants</w:t>
      </w:r>
      <w:r w:rsidR="003640B4" w:rsidRPr="008953EF">
        <w:rPr>
          <w:rFonts w:ascii="Lato" w:hAnsi="Lato"/>
          <w:sz w:val="16"/>
          <w:szCs w:val="16"/>
        </w:rPr>
        <w:t>.</w:t>
      </w:r>
    </w:p>
    <w:p w14:paraId="7FD840D2" w14:textId="74903428" w:rsidR="003640B4" w:rsidRPr="008953EF" w:rsidRDefault="00CA480E" w:rsidP="00A05F23">
      <w:pPr>
        <w:pStyle w:val="Endnote-Context"/>
        <w:rPr>
          <w:rFonts w:ascii="Lato" w:hAnsi="Lato"/>
          <w:sz w:val="16"/>
          <w:szCs w:val="16"/>
        </w:rPr>
      </w:pPr>
      <w:r w:rsidRPr="008953EF">
        <w:rPr>
          <w:rFonts w:ascii="Lato" w:hAnsi="Lato"/>
          <w:sz w:val="16"/>
          <w:szCs w:val="16"/>
          <w:lang w:val="fr-CA"/>
        </w:rPr>
        <w:t>Contexte concernant la documentation des symptômes ou signes existants ou nouveaux</w:t>
      </w:r>
      <w:r w:rsidR="003640B4" w:rsidRPr="008953EF">
        <w:rPr>
          <w:rFonts w:ascii="Lato" w:hAnsi="Lato"/>
          <w:sz w:val="16"/>
          <w:szCs w:val="16"/>
        </w:rPr>
        <w:t xml:space="preserve">: </w:t>
      </w:r>
      <w:r w:rsidRPr="008953EF">
        <w:rPr>
          <w:rFonts w:ascii="Lato" w:hAnsi="Lato"/>
          <w:sz w:val="16"/>
          <w:szCs w:val="16"/>
          <w:lang w:val="fr-CA"/>
        </w:rPr>
        <w:t>Même les symptômes qui existent depuis longtemps ou qui sont présents depuis la naissance doivent être documentés afin de permettre une comparaison avec d'éventuels changements futurs ou qui pourraient être significatifs en termes d'étiologie qui reste encore indéterminée</w:t>
      </w:r>
      <w:r w:rsidR="003640B4" w:rsidRPr="008953EF">
        <w:rPr>
          <w:rFonts w:ascii="Lato" w:hAnsi="Lato"/>
          <w:sz w:val="16"/>
          <w:szCs w:val="16"/>
        </w:rPr>
        <w:t>.</w:t>
      </w:r>
    </w:p>
    <w:p w14:paraId="5A1F0298" w14:textId="3E9F2985" w:rsidR="003640B4" w:rsidRPr="008953EF" w:rsidRDefault="00CA480E"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r w:rsidRPr="008953EF">
        <w:rPr>
          <w:rFonts w:ascii="Lato" w:hAnsi="Lato"/>
          <w:sz w:val="16"/>
          <w:szCs w:val="16"/>
        </w:rPr>
        <w:t xml:space="preserve"> </w:t>
      </w:r>
    </w:p>
    <w:p w14:paraId="5A9A0897" w14:textId="7872C14E" w:rsidR="003640B4" w:rsidRPr="008953EF" w:rsidRDefault="00000000" w:rsidP="0066497C">
      <w:pPr>
        <w:pStyle w:val="Endnote-Link"/>
        <w:rPr>
          <w:rFonts w:ascii="Lato" w:hAnsi="Lato"/>
          <w:sz w:val="16"/>
          <w:szCs w:val="16"/>
        </w:rPr>
      </w:pPr>
      <w:hyperlink r:id="rId19" w:history="1">
        <w:r w:rsidR="00CA480E" w:rsidRPr="008953EF">
          <w:rPr>
            <w:rStyle w:val="Hyperlink"/>
            <w:rFonts w:ascii="Lato" w:hAnsi="Lato"/>
            <w:sz w:val="16"/>
            <w:szCs w:val="16"/>
            <w:lang w:val="fr-CA"/>
          </w:rPr>
          <w:t>Tableaux de surveillance de l'épilepsie, plans d'action et fiches d'information</w:t>
        </w:r>
      </w:hyperlink>
    </w:p>
  </w:endnote>
  <w:endnote w:id="24">
    <w:p w14:paraId="0DC87ACC" w14:textId="1482DB83" w:rsidR="003640B4" w:rsidRDefault="003640B4" w:rsidP="0069631F">
      <w:pPr>
        <w:pStyle w:val="Endnote-H4"/>
        <w:spacing w:after="0"/>
      </w:pPr>
      <w:r>
        <w:rPr>
          <w:rStyle w:val="EndnoteReference"/>
        </w:rPr>
        <w:endnoteRef/>
      </w:r>
      <w:r>
        <w:t xml:space="preserve"> </w:t>
      </w:r>
      <w:proofErr w:type="spellStart"/>
      <w:r w:rsidR="00CA480E">
        <w:rPr>
          <w:rFonts w:cstheme="minorHAnsi"/>
          <w:color w:val="000000"/>
        </w:rPr>
        <w:t>Endocrinien</w:t>
      </w:r>
      <w:proofErr w:type="spellEnd"/>
      <w:r>
        <w:t xml:space="preserve"> </w:t>
      </w:r>
    </w:p>
    <w:p w14:paraId="5F1B98B5" w14:textId="3A84A7D0" w:rsidR="003640B4" w:rsidRPr="008953EF" w:rsidRDefault="00CA480E" w:rsidP="0069631F">
      <w:pPr>
        <w:pStyle w:val="Endnote-Bullet-L1"/>
        <w:spacing w:after="0"/>
        <w:rPr>
          <w:rFonts w:ascii="Lato" w:hAnsi="Lato"/>
          <w:sz w:val="16"/>
          <w:szCs w:val="16"/>
        </w:rPr>
      </w:pPr>
      <w:r w:rsidRPr="008953EF">
        <w:rPr>
          <w:rFonts w:ascii="Lato" w:hAnsi="Lato" w:cstheme="minorHAnsi"/>
          <w:color w:val="000000"/>
          <w:sz w:val="16"/>
          <w:szCs w:val="16"/>
          <w:lang w:val="fr-CA"/>
        </w:rPr>
        <w:t>Symptômes de dysfonctions de la glande thyroïde chez les patients à risque élevé (par ex., les personnes atteintes du syndrome de Down) ou lorsque des changements de comportement ou de fonctionnement adaptatif sont observés</w:t>
      </w:r>
      <w:r w:rsidR="00104177" w:rsidRPr="008953EF">
        <w:rPr>
          <w:rFonts w:ascii="Lato" w:hAnsi="Lato"/>
          <w:sz w:val="16"/>
          <w:szCs w:val="16"/>
        </w:rPr>
        <w:t>.</w:t>
      </w:r>
    </w:p>
    <w:p w14:paraId="40BE4539" w14:textId="4D65E7F1" w:rsidR="003640B4" w:rsidRPr="008953EF" w:rsidRDefault="00CA480E" w:rsidP="0069631F">
      <w:pPr>
        <w:pStyle w:val="Endnote-Bullet-L1"/>
        <w:spacing w:after="0"/>
        <w:rPr>
          <w:rFonts w:ascii="Lato" w:hAnsi="Lato"/>
          <w:sz w:val="16"/>
          <w:szCs w:val="16"/>
        </w:rPr>
      </w:pPr>
      <w:r w:rsidRPr="008953EF">
        <w:rPr>
          <w:rFonts w:ascii="Lato" w:hAnsi="Lato" w:cstheme="minorHAnsi"/>
          <w:color w:val="000000"/>
          <w:sz w:val="16"/>
          <w:szCs w:val="16"/>
          <w:lang w:val="fr-CA"/>
        </w:rPr>
        <w:t>Symptômes de diabète</w:t>
      </w:r>
      <w:r w:rsidR="00104177" w:rsidRPr="008953EF">
        <w:rPr>
          <w:rFonts w:ascii="Lato" w:hAnsi="Lato"/>
          <w:sz w:val="16"/>
          <w:szCs w:val="16"/>
        </w:rPr>
        <w:t>.</w:t>
      </w:r>
    </w:p>
    <w:p w14:paraId="5E728401" w14:textId="0D5D19F4" w:rsidR="003640B4" w:rsidRPr="008953EF" w:rsidRDefault="00CA480E" w:rsidP="0069631F">
      <w:pPr>
        <w:pStyle w:val="Endnote-Bullet-L1"/>
        <w:spacing w:after="0"/>
        <w:rPr>
          <w:rFonts w:ascii="Lato" w:hAnsi="Lato"/>
          <w:sz w:val="16"/>
          <w:szCs w:val="16"/>
        </w:rPr>
      </w:pPr>
      <w:r w:rsidRPr="008953EF">
        <w:rPr>
          <w:rFonts w:ascii="Lato" w:hAnsi="Lato"/>
          <w:sz w:val="16"/>
          <w:szCs w:val="16"/>
          <w:lang w:val="fr-CA"/>
        </w:rPr>
        <w:t>En cas de diabète/prédiabète, les patients, leur famille et leurs autres aidants se sont-ils vu proposer une éducation diabétique adaptée aux personnes atteintes de DID</w:t>
      </w:r>
      <w:r w:rsidR="00104177" w:rsidRPr="008953EF">
        <w:rPr>
          <w:rFonts w:ascii="Lato" w:hAnsi="Lato"/>
          <w:sz w:val="16"/>
          <w:szCs w:val="16"/>
        </w:rPr>
        <w:t>.</w:t>
      </w:r>
    </w:p>
    <w:p w14:paraId="50E320BA" w14:textId="21CF90C1" w:rsidR="003640B4" w:rsidRPr="008953EF" w:rsidRDefault="00CA480E" w:rsidP="0069631F">
      <w:pPr>
        <w:pStyle w:val="Endnote-Context"/>
        <w:rPr>
          <w:rFonts w:ascii="Lato" w:hAnsi="Lato"/>
          <w:sz w:val="16"/>
          <w:szCs w:val="16"/>
        </w:rPr>
      </w:pPr>
      <w:r w:rsidRPr="008953EF">
        <w:rPr>
          <w:rFonts w:ascii="Lato" w:hAnsi="Lato" w:cstheme="minorHAnsi"/>
          <w:color w:val="000000"/>
          <w:sz w:val="16"/>
          <w:szCs w:val="16"/>
          <w:lang w:val="fr-CA"/>
        </w:rPr>
        <w:t>Évaluez chaque année la fonction thyroïdienne des patients à risque élevé (p. ex. personnes ayant le syndrome de Down) ou lorsqu’on observe des changements de comportement ou de fonctionnement adaptatif</w:t>
      </w:r>
      <w:r w:rsidR="003640B4" w:rsidRPr="008953EF">
        <w:rPr>
          <w:rFonts w:ascii="Lato" w:hAnsi="Lato"/>
          <w:sz w:val="16"/>
          <w:szCs w:val="16"/>
        </w:rPr>
        <w:t>.</w:t>
      </w:r>
      <w:r w:rsidR="0069631F">
        <w:rPr>
          <w:rFonts w:ascii="Lato" w:hAnsi="Lato"/>
          <w:sz w:val="16"/>
          <w:szCs w:val="16"/>
        </w:rPr>
        <w:t xml:space="preserve"> </w:t>
      </w:r>
      <w:r w:rsidRPr="008953EF">
        <w:rPr>
          <w:rFonts w:ascii="Lato" w:hAnsi="Lato" w:cstheme="minorHAnsi"/>
          <w:color w:val="000000"/>
          <w:sz w:val="16"/>
          <w:szCs w:val="16"/>
          <w:lang w:val="fr-CA"/>
        </w:rPr>
        <w:t>Dépistez le diabète de Type 2 à un âge plus précoce que celui recommandé pour l’ensemble de la population</w:t>
      </w:r>
      <w:r w:rsidR="003640B4" w:rsidRPr="008953EF">
        <w:rPr>
          <w:rFonts w:ascii="Lato" w:hAnsi="Lato"/>
          <w:sz w:val="16"/>
          <w:szCs w:val="16"/>
        </w:rPr>
        <w:t>.</w:t>
      </w:r>
      <w:r w:rsidR="0069631F">
        <w:rPr>
          <w:rFonts w:ascii="Lato" w:hAnsi="Lato"/>
          <w:sz w:val="16"/>
          <w:szCs w:val="16"/>
        </w:rPr>
        <w:t xml:space="preserve"> </w:t>
      </w:r>
      <w:r w:rsidRPr="008953EF">
        <w:rPr>
          <w:rFonts w:ascii="Lato" w:hAnsi="Lato" w:cstheme="minorHAnsi"/>
          <w:color w:val="000000"/>
          <w:sz w:val="16"/>
          <w:szCs w:val="16"/>
          <w:lang w:val="fr-CA"/>
        </w:rPr>
        <w:t>Fournissez des outils éducatifs portant sur le diabète, adaptés aux personnes ayant des DID, aux patients, à leur famille et aux autres personnes aidantes</w:t>
      </w:r>
      <w:r w:rsidR="003640B4" w:rsidRPr="008953EF">
        <w:rPr>
          <w:rFonts w:ascii="Lato" w:hAnsi="Lato"/>
          <w:sz w:val="16"/>
          <w:szCs w:val="16"/>
        </w:rPr>
        <w:t>.</w:t>
      </w:r>
    </w:p>
  </w:endnote>
  <w:endnote w:id="25">
    <w:p w14:paraId="16EA1074" w14:textId="7792DF25" w:rsidR="003640B4" w:rsidRDefault="003640B4" w:rsidP="0069631F">
      <w:pPr>
        <w:pStyle w:val="Endnote-H4"/>
        <w:spacing w:after="0"/>
      </w:pPr>
      <w:r>
        <w:rPr>
          <w:rStyle w:val="EndnoteReference"/>
        </w:rPr>
        <w:endnoteRef/>
      </w:r>
      <w:r>
        <w:t xml:space="preserve"> </w:t>
      </w:r>
      <w:r w:rsidRPr="00F42CD8">
        <w:t>Infections</w:t>
      </w:r>
    </w:p>
    <w:p w14:paraId="2C8601CA" w14:textId="418A9718" w:rsidR="003640B4" w:rsidRPr="008953EF" w:rsidRDefault="00CA480E" w:rsidP="00732486">
      <w:pPr>
        <w:pStyle w:val="Endnote-Bullet-L1"/>
        <w:spacing w:after="0"/>
        <w:rPr>
          <w:rFonts w:ascii="Lato" w:hAnsi="Lato"/>
          <w:sz w:val="16"/>
          <w:szCs w:val="16"/>
        </w:rPr>
      </w:pPr>
      <w:r w:rsidRPr="008953EF">
        <w:rPr>
          <w:rFonts w:ascii="Lato" w:hAnsi="Lato" w:cstheme="minorHAnsi"/>
          <w:color w:val="000000"/>
          <w:sz w:val="16"/>
          <w:szCs w:val="16"/>
          <w:lang w:val="fr-CA"/>
        </w:rPr>
        <w:t>Examinez le statut vaccinal</w:t>
      </w:r>
    </w:p>
    <w:p w14:paraId="2BFF7F72" w14:textId="4B88D56D" w:rsidR="003640B4" w:rsidRPr="008953EF" w:rsidRDefault="00CA480E" w:rsidP="0069631F">
      <w:pPr>
        <w:pStyle w:val="Endnote-Bullet-L1"/>
        <w:spacing w:after="0"/>
        <w:rPr>
          <w:rFonts w:ascii="Lato" w:hAnsi="Lato"/>
          <w:sz w:val="16"/>
          <w:szCs w:val="16"/>
        </w:rPr>
      </w:pPr>
      <w:r w:rsidRPr="008953EF">
        <w:rPr>
          <w:rFonts w:ascii="Lato" w:hAnsi="Lato" w:cstheme="minorHAnsi"/>
          <w:color w:val="000000"/>
          <w:sz w:val="16"/>
          <w:szCs w:val="16"/>
          <w:lang w:val="fr-CA"/>
        </w:rPr>
        <w:t>Examinez l'expérience COVID</w:t>
      </w:r>
    </w:p>
    <w:p w14:paraId="517DF3ED" w14:textId="16708C64"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 xml:space="preserve">Les adultes ayant des DID ont souffert d'une </w:t>
      </w:r>
      <w:proofErr w:type="spellStart"/>
      <w:r w:rsidRPr="008953EF">
        <w:rPr>
          <w:rFonts w:ascii="Lato" w:hAnsi="Lato" w:cstheme="minorHAnsi"/>
          <w:color w:val="000000"/>
          <w:sz w:val="16"/>
          <w:szCs w:val="16"/>
          <w:lang w:val="fr-CA"/>
        </w:rPr>
        <w:t>surmorbidité</w:t>
      </w:r>
      <w:proofErr w:type="spellEnd"/>
      <w:r w:rsidRPr="008953EF">
        <w:rPr>
          <w:rFonts w:ascii="Lato" w:hAnsi="Lato" w:cstheme="minorHAnsi"/>
          <w:color w:val="000000"/>
          <w:sz w:val="16"/>
          <w:szCs w:val="16"/>
          <w:lang w:val="fr-CA"/>
        </w:rPr>
        <w:t>, y compris de problèmes de santé mentale et de mortalité au cours de la pandémie de la COVID</w:t>
      </w:r>
      <w:r w:rsidR="008B332C" w:rsidRPr="008953EF">
        <w:rPr>
          <w:rFonts w:ascii="Lato" w:hAnsi="Lato"/>
          <w:sz w:val="16"/>
          <w:szCs w:val="16"/>
        </w:rPr>
        <w:t>.</w:t>
      </w:r>
    </w:p>
    <w:p w14:paraId="6803A96E" w14:textId="09A1F97C"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 xml:space="preserve">Inscrivez les patients ayant des DID aux programmes de vaccination systématique pour les populations à risque contre l'influenza et les infections à la Streptococcus </w:t>
      </w:r>
      <w:proofErr w:type="spellStart"/>
      <w:r w:rsidRPr="008953EF">
        <w:rPr>
          <w:rFonts w:ascii="Lato" w:hAnsi="Lato" w:cstheme="minorHAnsi"/>
          <w:color w:val="000000"/>
          <w:sz w:val="16"/>
          <w:szCs w:val="16"/>
          <w:lang w:val="fr-CA"/>
        </w:rPr>
        <w:t>Pneumoniae</w:t>
      </w:r>
      <w:proofErr w:type="spellEnd"/>
      <w:r w:rsidR="003640B4" w:rsidRPr="008953EF">
        <w:rPr>
          <w:rFonts w:ascii="Lato" w:hAnsi="Lato"/>
          <w:sz w:val="16"/>
          <w:szCs w:val="16"/>
        </w:rPr>
        <w:t>.</w:t>
      </w:r>
    </w:p>
    <w:p w14:paraId="6F87D519" w14:textId="70BF60EB"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Offrez la vaccination contre l'hépatite A et B à tous les patients à risque, comme les personnes qui doivent prendre des médicaments potentiellement hépatotoxiques sur une longue période ou les personnes vivant en milieux de groupe</w:t>
      </w:r>
      <w:r w:rsidR="003640B4" w:rsidRPr="008953EF">
        <w:rPr>
          <w:rFonts w:ascii="Lato" w:hAnsi="Lato"/>
          <w:sz w:val="16"/>
          <w:szCs w:val="16"/>
        </w:rPr>
        <w:t>.</w:t>
      </w:r>
    </w:p>
    <w:p w14:paraId="49070EC0" w14:textId="31BA7503" w:rsidR="003640B4" w:rsidRPr="008953EF" w:rsidRDefault="00CA480E" w:rsidP="00A05F23">
      <w:pPr>
        <w:pStyle w:val="Endnote-Context"/>
        <w:rPr>
          <w:rFonts w:ascii="Lato" w:hAnsi="Lato"/>
          <w:sz w:val="16"/>
          <w:szCs w:val="16"/>
        </w:rPr>
      </w:pPr>
      <w:r w:rsidRPr="008953EF">
        <w:rPr>
          <w:rFonts w:ascii="Lato" w:hAnsi="Lato"/>
          <w:sz w:val="16"/>
          <w:szCs w:val="16"/>
          <w:lang w:val="fr-CA"/>
        </w:rPr>
        <w:t>Dépistez les maladies infectieuses chez les patients conformément aux lignes directrices relatives aux populations à haut risque et à d'autres facteurs de risque particuliers (p. ex., résidence de groupe, pratiques sexuelles, consommation de drogues intraveineuse</w:t>
      </w:r>
      <w:r w:rsidR="003640B4" w:rsidRPr="008953EF">
        <w:rPr>
          <w:rFonts w:ascii="Lato" w:hAnsi="Lato"/>
          <w:sz w:val="16"/>
          <w:szCs w:val="16"/>
        </w:rPr>
        <w:t>).</w:t>
      </w:r>
    </w:p>
    <w:p w14:paraId="2ECDC088" w14:textId="4AB3727A" w:rsidR="003640B4" w:rsidRPr="008953EF" w:rsidRDefault="00CA480E" w:rsidP="00A05F23">
      <w:pPr>
        <w:pStyle w:val="Endnote-Context"/>
        <w:rPr>
          <w:rFonts w:ascii="Lato" w:hAnsi="Lato"/>
          <w:sz w:val="16"/>
          <w:szCs w:val="16"/>
        </w:rPr>
      </w:pPr>
      <w:r w:rsidRPr="008953EF">
        <w:rPr>
          <w:rFonts w:ascii="Lato" w:hAnsi="Lato" w:cstheme="minorHAnsi"/>
          <w:color w:val="000000"/>
          <w:sz w:val="16"/>
          <w:szCs w:val="16"/>
          <w:lang w:val="fr-CA"/>
        </w:rPr>
        <w:t>Diminuez les facteurs de risque d'infections pulmonaires sérieuses, en favorisant des pratiques alimentaires sécuritaires, un</w:t>
      </w:r>
      <w:r w:rsidR="00783E73" w:rsidRPr="008953EF">
        <w:rPr>
          <w:rFonts w:ascii="Lato" w:hAnsi="Lato" w:cstheme="minorHAnsi"/>
          <w:color w:val="000000"/>
          <w:sz w:val="16"/>
          <w:szCs w:val="16"/>
          <w:lang w:val="fr-CA"/>
        </w:rPr>
        <w:t xml:space="preserve"> positionnement permettant l'élimination des sécrétions et l'inhalothérapie</w:t>
      </w:r>
      <w:r w:rsidR="003640B4" w:rsidRPr="008953EF">
        <w:rPr>
          <w:rFonts w:ascii="Lato" w:hAnsi="Lato"/>
          <w:sz w:val="16"/>
          <w:szCs w:val="16"/>
        </w:rPr>
        <w:t>.</w:t>
      </w:r>
    </w:p>
    <w:p w14:paraId="170A7D28" w14:textId="01B4590B" w:rsidR="003640B4" w:rsidRPr="008953EF" w:rsidRDefault="00783E73" w:rsidP="00A05F23">
      <w:pPr>
        <w:pStyle w:val="Endnote-Context"/>
        <w:rPr>
          <w:rFonts w:ascii="Lato" w:hAnsi="Lato"/>
          <w:sz w:val="16"/>
          <w:szCs w:val="16"/>
        </w:rPr>
      </w:pPr>
      <w:r w:rsidRPr="008953EF">
        <w:rPr>
          <w:rFonts w:ascii="Lato" w:hAnsi="Lato" w:cstheme="minorHAnsi"/>
          <w:color w:val="000000"/>
          <w:sz w:val="16"/>
          <w:szCs w:val="16"/>
          <w:lang w:val="fr-CA"/>
        </w:rPr>
        <w:t>Effectuez un examen de la tête au pied afin de détecter une infection si un patient démontre un changement de comportement ou d'état mental. Avisez les personnes aidantes des signes et symptômes d'une infection</w:t>
      </w:r>
      <w:r w:rsidR="003640B4" w:rsidRPr="008953EF">
        <w:rPr>
          <w:rFonts w:ascii="Lato" w:hAnsi="Lato"/>
          <w:sz w:val="16"/>
          <w:szCs w:val="16"/>
        </w:rPr>
        <w:t>.</w:t>
      </w:r>
    </w:p>
  </w:endnote>
  <w:endnote w:id="26">
    <w:p w14:paraId="511C1E23" w14:textId="2BB9D352" w:rsidR="003640B4" w:rsidRDefault="003640B4" w:rsidP="0069631F">
      <w:pPr>
        <w:pStyle w:val="Endnote-H4"/>
        <w:spacing w:after="0"/>
      </w:pPr>
      <w:r>
        <w:rPr>
          <w:rStyle w:val="EndnoteReference"/>
        </w:rPr>
        <w:endnoteRef/>
      </w:r>
      <w:r>
        <w:t xml:space="preserve"> </w:t>
      </w:r>
      <w:proofErr w:type="spellStart"/>
      <w:r w:rsidR="00783E73">
        <w:rPr>
          <w:rFonts w:cstheme="minorHAnsi"/>
          <w:color w:val="000000"/>
        </w:rPr>
        <w:t>Dépistage</w:t>
      </w:r>
      <w:proofErr w:type="spellEnd"/>
      <w:r w:rsidR="00783E73">
        <w:rPr>
          <w:rFonts w:cstheme="minorHAnsi"/>
          <w:color w:val="000000"/>
        </w:rPr>
        <w:t xml:space="preserve"> du cancer</w:t>
      </w:r>
    </w:p>
    <w:p w14:paraId="3EBD0A8B" w14:textId="35AF2EE8" w:rsidR="003640B4" w:rsidRPr="008953EF" w:rsidRDefault="00783E73" w:rsidP="00732486">
      <w:pPr>
        <w:pStyle w:val="Endnote-Bullet-L1"/>
        <w:spacing w:after="0"/>
        <w:rPr>
          <w:rFonts w:ascii="Lato" w:hAnsi="Lato"/>
          <w:sz w:val="16"/>
          <w:szCs w:val="16"/>
        </w:rPr>
      </w:pPr>
      <w:r w:rsidRPr="008953EF">
        <w:rPr>
          <w:rFonts w:ascii="Lato" w:hAnsi="Lato" w:cstheme="minorHAnsi"/>
          <w:color w:val="000000"/>
          <w:sz w:val="16"/>
          <w:szCs w:val="16"/>
          <w:lang w:val="fr-CA"/>
        </w:rPr>
        <w:t>Obtenez de façon proactive des renseignements sur les antécédents familiaux de cancer et réévaluez-les chaque année</w:t>
      </w:r>
      <w:r w:rsidR="003640B4" w:rsidRPr="008953EF">
        <w:rPr>
          <w:rFonts w:ascii="Lato" w:hAnsi="Lato"/>
          <w:sz w:val="16"/>
          <w:szCs w:val="16"/>
        </w:rPr>
        <w:t>.</w:t>
      </w:r>
    </w:p>
    <w:p w14:paraId="754A4A90" w14:textId="1F128999" w:rsidR="003640B4" w:rsidRPr="008953EF" w:rsidRDefault="00783E73" w:rsidP="00732486">
      <w:pPr>
        <w:pStyle w:val="Endnote-Bullet-L1"/>
        <w:spacing w:after="0"/>
        <w:rPr>
          <w:rFonts w:ascii="Lato" w:hAnsi="Lato"/>
          <w:sz w:val="16"/>
          <w:szCs w:val="16"/>
        </w:rPr>
      </w:pPr>
      <w:r w:rsidRPr="008953EF">
        <w:rPr>
          <w:rFonts w:ascii="Lato" w:hAnsi="Lato" w:cstheme="minorHAnsi"/>
          <w:color w:val="000000"/>
          <w:sz w:val="16"/>
          <w:szCs w:val="16"/>
          <w:lang w:val="fr-CA"/>
        </w:rPr>
        <w:t>Utilisez des outils cliniques éducatifs adaptés aux personnes ayant des DID afin de fournir des renseignements aux patients et de favoriser leur participation aux tests de dépistage du cancer</w:t>
      </w:r>
      <w:r w:rsidR="003640B4" w:rsidRPr="008953EF">
        <w:rPr>
          <w:rFonts w:ascii="Lato" w:hAnsi="Lato"/>
          <w:sz w:val="16"/>
          <w:szCs w:val="16"/>
        </w:rPr>
        <w:t>.</w:t>
      </w:r>
    </w:p>
    <w:p w14:paraId="7054BD89" w14:textId="46E62C12" w:rsidR="003640B4" w:rsidRPr="008953EF" w:rsidRDefault="00783E73" w:rsidP="00941025">
      <w:pPr>
        <w:pStyle w:val="Endnote-Bullet-L1"/>
        <w:rPr>
          <w:rFonts w:ascii="Lato" w:hAnsi="Lato"/>
          <w:sz w:val="16"/>
          <w:szCs w:val="16"/>
        </w:rPr>
      </w:pPr>
      <w:r w:rsidRPr="008953EF">
        <w:rPr>
          <w:rFonts w:ascii="Lato" w:hAnsi="Lato" w:cstheme="minorHAnsi"/>
          <w:color w:val="000000"/>
          <w:sz w:val="16"/>
          <w:szCs w:val="16"/>
          <w:lang w:val="fr-CA"/>
        </w:rPr>
        <w:t>Discutez des inquiétudes en lien avec le cancer et la gestion des symptômes avec la famille et les autres personnes soignantes et donnez de l’information au sujet de la gestion de la maladie et des soins palliatifs</w:t>
      </w:r>
      <w:r w:rsidR="003640B4" w:rsidRPr="008953EF">
        <w:rPr>
          <w:rFonts w:ascii="Lato" w:hAnsi="Lato"/>
          <w:sz w:val="16"/>
          <w:szCs w:val="16"/>
        </w:rPr>
        <w:t>.</w:t>
      </w:r>
    </w:p>
  </w:endnote>
  <w:endnote w:id="27">
    <w:p w14:paraId="3325AD1B" w14:textId="64001B41" w:rsidR="003640B4" w:rsidRDefault="003640B4" w:rsidP="0069631F">
      <w:pPr>
        <w:pStyle w:val="Endnote-H4"/>
        <w:spacing w:after="0"/>
      </w:pPr>
      <w:r>
        <w:rPr>
          <w:rStyle w:val="EndnoteReference"/>
        </w:rPr>
        <w:endnoteRef/>
      </w:r>
      <w:r>
        <w:t xml:space="preserve"> </w:t>
      </w:r>
      <w:proofErr w:type="spellStart"/>
      <w:r w:rsidR="00783E73">
        <w:rPr>
          <w:rFonts w:cstheme="minorHAnsi"/>
          <w:color w:val="000000"/>
        </w:rPr>
        <w:t>Santé</w:t>
      </w:r>
      <w:proofErr w:type="spellEnd"/>
      <w:r w:rsidR="00783E73">
        <w:rPr>
          <w:rFonts w:cstheme="minorHAnsi"/>
          <w:color w:val="000000"/>
        </w:rPr>
        <w:t xml:space="preserve"> </w:t>
      </w:r>
      <w:proofErr w:type="spellStart"/>
      <w:r w:rsidR="00783E73">
        <w:rPr>
          <w:rFonts w:cstheme="minorHAnsi"/>
          <w:color w:val="000000"/>
        </w:rPr>
        <w:t>mentale</w:t>
      </w:r>
      <w:proofErr w:type="spellEnd"/>
    </w:p>
    <w:p w14:paraId="476EAC11" w14:textId="60086ABF" w:rsidR="003640B4" w:rsidRPr="008953EF" w:rsidRDefault="00783E73"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Dépistez les troubles psychiatriques potentiels en recherchant des changements, par rapport à l’état de base habituel, </w:t>
      </w:r>
      <w:proofErr w:type="spellStart"/>
      <w:r w:rsidRPr="008953EF">
        <w:rPr>
          <w:rFonts w:ascii="Lato" w:hAnsi="Lato" w:cstheme="minorHAnsi"/>
          <w:color w:val="000000"/>
          <w:sz w:val="16"/>
          <w:szCs w:val="16"/>
          <w:lang w:val="fr-CA"/>
        </w:rPr>
        <w:t>dansl'état</w:t>
      </w:r>
      <w:proofErr w:type="spellEnd"/>
      <w:r w:rsidRPr="008953EF">
        <w:rPr>
          <w:rFonts w:ascii="Lato" w:hAnsi="Lato" w:cstheme="minorHAnsi"/>
          <w:color w:val="000000"/>
          <w:sz w:val="16"/>
          <w:szCs w:val="16"/>
          <w:lang w:val="fr-CA"/>
        </w:rPr>
        <w:t xml:space="preserve"> mental et le comportement</w:t>
      </w:r>
      <w:r w:rsidR="003640B4" w:rsidRPr="008953EF">
        <w:rPr>
          <w:rFonts w:ascii="Lato" w:hAnsi="Lato"/>
          <w:sz w:val="16"/>
          <w:szCs w:val="16"/>
        </w:rPr>
        <w:t>.</w:t>
      </w:r>
    </w:p>
    <w:p w14:paraId="7BCBD80C" w14:textId="3A501BA5" w:rsidR="003640B4" w:rsidRPr="008953EF" w:rsidRDefault="00783E73" w:rsidP="0069631F">
      <w:pPr>
        <w:pStyle w:val="Endnote-Bullet-L1"/>
        <w:spacing w:after="0"/>
        <w:rPr>
          <w:rFonts w:ascii="Lato" w:hAnsi="Lato"/>
          <w:sz w:val="16"/>
          <w:szCs w:val="16"/>
        </w:rPr>
      </w:pPr>
      <w:r w:rsidRPr="008953EF">
        <w:rPr>
          <w:rFonts w:ascii="Lato" w:hAnsi="Lato" w:cstheme="minorHAnsi"/>
          <w:color w:val="000000"/>
          <w:sz w:val="16"/>
          <w:szCs w:val="16"/>
          <w:lang w:val="fr-CA"/>
        </w:rPr>
        <w:t>Poser des questions sur les troubles de l'humeur ; envisager les questions suivantes</w:t>
      </w:r>
      <w:r w:rsidR="003640B4" w:rsidRPr="008953EF">
        <w:rPr>
          <w:rFonts w:ascii="Lato" w:hAnsi="Lato"/>
          <w:sz w:val="16"/>
          <w:szCs w:val="16"/>
        </w:rPr>
        <w:t xml:space="preserve">: </w:t>
      </w:r>
    </w:p>
    <w:p w14:paraId="562C3653" w14:textId="0B03FC96"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Comment est votre moral</w:t>
      </w:r>
      <w:r w:rsidR="003640B4" w:rsidRPr="008953EF">
        <w:rPr>
          <w:rFonts w:ascii="Lato" w:hAnsi="Lato"/>
          <w:sz w:val="16"/>
          <w:szCs w:val="16"/>
        </w:rPr>
        <w:t>?</w:t>
      </w:r>
    </w:p>
    <w:p w14:paraId="792CF2A1" w14:textId="18B2E7A0"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Dormez-vous bien</w:t>
      </w:r>
      <w:r w:rsidR="003640B4" w:rsidRPr="008953EF">
        <w:rPr>
          <w:rFonts w:ascii="Lato" w:hAnsi="Lato"/>
          <w:sz w:val="16"/>
          <w:szCs w:val="16"/>
        </w:rPr>
        <w:t>?</w:t>
      </w:r>
    </w:p>
    <w:p w14:paraId="16D30CC3" w14:textId="748DD6C0" w:rsidR="00B061E0" w:rsidRDefault="00783E73" w:rsidP="00B71D77">
      <w:pPr>
        <w:pStyle w:val="Endnote-Bullet-L2"/>
        <w:spacing w:after="0"/>
        <w:rPr>
          <w:rFonts w:ascii="Lato" w:hAnsi="Lato"/>
          <w:sz w:val="16"/>
          <w:szCs w:val="16"/>
        </w:rPr>
      </w:pPr>
      <w:r w:rsidRPr="008953EF">
        <w:rPr>
          <w:rFonts w:ascii="Lato" w:hAnsi="Lato" w:cstheme="minorHAnsi"/>
          <w:color w:val="000000"/>
          <w:sz w:val="16"/>
          <w:szCs w:val="16"/>
          <w:lang w:val="fr-CA"/>
        </w:rPr>
        <w:t>Qu'aimez-vous faire pour vous amuser</w:t>
      </w:r>
      <w:r w:rsidR="003640B4" w:rsidRPr="008953EF">
        <w:rPr>
          <w:rFonts w:ascii="Lato" w:hAnsi="Lato"/>
          <w:sz w:val="16"/>
          <w:szCs w:val="16"/>
        </w:rPr>
        <w:t xml:space="preserve">? </w:t>
      </w:r>
    </w:p>
    <w:p w14:paraId="5E7F1E01" w14:textId="77777777" w:rsidR="00B71D77" w:rsidRDefault="00B71D77" w:rsidP="00B71D77">
      <w:pPr>
        <w:pStyle w:val="Endnote-Bullet-L2"/>
        <w:numPr>
          <w:ilvl w:val="0"/>
          <w:numId w:val="0"/>
        </w:numPr>
        <w:spacing w:after="0"/>
        <w:ind w:left="540" w:hanging="180"/>
        <w:rPr>
          <w:rFonts w:ascii="Lato" w:hAnsi="Lato"/>
          <w:sz w:val="16"/>
          <w:szCs w:val="16"/>
        </w:rPr>
      </w:pPr>
    </w:p>
    <w:p w14:paraId="4BD312C4" w14:textId="77777777" w:rsidR="00B71D77" w:rsidRPr="00B71D77" w:rsidRDefault="00B71D77" w:rsidP="00B71D77">
      <w:pPr>
        <w:pStyle w:val="Endnote-Bullet-L2"/>
        <w:numPr>
          <w:ilvl w:val="0"/>
          <w:numId w:val="0"/>
        </w:numPr>
        <w:spacing w:after="0"/>
        <w:ind w:left="540" w:hanging="180"/>
        <w:rPr>
          <w:rFonts w:ascii="Lato" w:hAnsi="Lato"/>
          <w:sz w:val="16"/>
          <w:szCs w:val="16"/>
        </w:rPr>
      </w:pPr>
    </w:p>
    <w:p w14:paraId="58EDF5C7" w14:textId="04283DAF"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Vous amusez-vous</w:t>
      </w:r>
      <w:r w:rsidR="003640B4" w:rsidRPr="008953EF">
        <w:rPr>
          <w:rFonts w:ascii="Lato" w:hAnsi="Lato"/>
          <w:sz w:val="16"/>
          <w:szCs w:val="16"/>
        </w:rPr>
        <w:t xml:space="preserve">? </w:t>
      </w:r>
    </w:p>
    <w:p w14:paraId="3BFAB05B" w14:textId="46573568"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Avez-vous ressenti de la tristesse</w:t>
      </w:r>
      <w:r w:rsidR="003640B4" w:rsidRPr="008953EF">
        <w:rPr>
          <w:rFonts w:ascii="Lato" w:hAnsi="Lato"/>
          <w:sz w:val="16"/>
          <w:szCs w:val="16"/>
        </w:rPr>
        <w:t xml:space="preserve">? </w:t>
      </w:r>
    </w:p>
    <w:p w14:paraId="1B4C5D77" w14:textId="2E630146"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Avez-vous des inquiétudes</w:t>
      </w:r>
      <w:r w:rsidR="003640B4" w:rsidRPr="008953EF">
        <w:rPr>
          <w:rFonts w:ascii="Lato" w:hAnsi="Lato"/>
          <w:sz w:val="16"/>
          <w:szCs w:val="16"/>
        </w:rPr>
        <w:t xml:space="preserve">? </w:t>
      </w:r>
    </w:p>
    <w:p w14:paraId="5BAA5FDE" w14:textId="37DA60A9"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Êtes-vous nerveux</w:t>
      </w:r>
      <w:r w:rsidR="003640B4" w:rsidRPr="008953EF">
        <w:rPr>
          <w:rFonts w:ascii="Lato" w:hAnsi="Lato"/>
          <w:sz w:val="16"/>
          <w:szCs w:val="16"/>
        </w:rPr>
        <w:t xml:space="preserve">? </w:t>
      </w:r>
    </w:p>
    <w:p w14:paraId="322CA5FC" w14:textId="79EE1559" w:rsidR="003640B4" w:rsidRPr="008953EF" w:rsidRDefault="00783E73" w:rsidP="0069631F">
      <w:pPr>
        <w:pStyle w:val="Endnote-Bullet-L2"/>
        <w:spacing w:after="0"/>
        <w:rPr>
          <w:rFonts w:ascii="Lato" w:hAnsi="Lato"/>
          <w:sz w:val="16"/>
          <w:szCs w:val="16"/>
        </w:rPr>
      </w:pPr>
      <w:r w:rsidRPr="008953EF">
        <w:rPr>
          <w:rFonts w:ascii="Lato" w:hAnsi="Lato" w:cstheme="minorHAnsi"/>
          <w:color w:val="000000"/>
          <w:sz w:val="16"/>
          <w:szCs w:val="16"/>
          <w:lang w:val="fr-CA"/>
        </w:rPr>
        <w:t>Vous faites-vous du souci tous les jours</w:t>
      </w:r>
      <w:r w:rsidR="003640B4" w:rsidRPr="008953EF">
        <w:rPr>
          <w:rFonts w:ascii="Lato" w:hAnsi="Lato"/>
          <w:sz w:val="16"/>
          <w:szCs w:val="16"/>
        </w:rPr>
        <w:t xml:space="preserve">? </w:t>
      </w:r>
    </w:p>
    <w:p w14:paraId="75E88252" w14:textId="3AB68CCE" w:rsidR="003640B4" w:rsidRPr="008953EF" w:rsidRDefault="00783E73" w:rsidP="00732486">
      <w:pPr>
        <w:pStyle w:val="Endnote-Bullet-L1"/>
        <w:spacing w:after="0"/>
        <w:rPr>
          <w:rFonts w:ascii="Lato" w:hAnsi="Lato"/>
          <w:sz w:val="16"/>
          <w:szCs w:val="16"/>
        </w:rPr>
      </w:pPr>
      <w:r w:rsidRPr="008953EF">
        <w:rPr>
          <w:rFonts w:ascii="Lato" w:hAnsi="Lato" w:cstheme="minorHAnsi"/>
          <w:color w:val="000000"/>
          <w:sz w:val="16"/>
          <w:szCs w:val="16"/>
          <w:lang w:val="fr-CA"/>
        </w:rPr>
        <w:t>Réévaluez régulièrement (p. ex., tous les 3 mois) la pertinence et l’utilisation de médicaments psychotiques prescrit</w:t>
      </w:r>
      <w:r w:rsidR="003640B4" w:rsidRPr="008953EF">
        <w:rPr>
          <w:rFonts w:ascii="Lato" w:hAnsi="Lato"/>
          <w:sz w:val="16"/>
          <w:szCs w:val="16"/>
        </w:rPr>
        <w:t>s.</w:t>
      </w:r>
    </w:p>
    <w:p w14:paraId="73DC7275" w14:textId="1C6A0DA1" w:rsidR="003640B4" w:rsidRPr="008953EF" w:rsidRDefault="00783E73" w:rsidP="00C2226B">
      <w:pPr>
        <w:pStyle w:val="Endnote-Bullet-L1"/>
        <w:rPr>
          <w:rFonts w:ascii="Lato" w:hAnsi="Lato"/>
          <w:sz w:val="16"/>
          <w:szCs w:val="16"/>
        </w:rPr>
      </w:pPr>
      <w:r w:rsidRPr="008953EF">
        <w:rPr>
          <w:rFonts w:ascii="Lato" w:hAnsi="Lato" w:cstheme="minorHAnsi"/>
          <w:color w:val="000000"/>
          <w:sz w:val="16"/>
          <w:szCs w:val="16"/>
          <w:lang w:val="fr-CA"/>
        </w:rPr>
        <w:t>Surveillez les réactions et les effets indésirables des médicaments antipsychotiques : effets au niveau du système nerveux central (p. ex., sédation, perturbations comportementales), symptômes extrapyramidaux (p. ex., parkinsonisme, akathisie, dyskinésie tardive), effets anticholinergiques (p. ex., trouble de la déglutition, troubles intestinaux), effets cardiovasculaires (p. ex., hypotension orthostatique, tachycardie) et effets endocriniens (p. ex., syndrome métabolique, dysfonction sexuelle</w:t>
      </w:r>
      <w:r w:rsidR="003640B4" w:rsidRPr="008953EF">
        <w:rPr>
          <w:rFonts w:ascii="Lato" w:hAnsi="Lato"/>
          <w:sz w:val="16"/>
          <w:szCs w:val="16"/>
        </w:rPr>
        <w:t>).</w:t>
      </w:r>
    </w:p>
    <w:p w14:paraId="3F92CAD6" w14:textId="436AEE52" w:rsidR="003640B4" w:rsidRPr="008953EF" w:rsidRDefault="00783E73" w:rsidP="00A05F23">
      <w:pPr>
        <w:pStyle w:val="Endnote-Context"/>
        <w:rPr>
          <w:rFonts w:ascii="Lato" w:hAnsi="Lato"/>
          <w:sz w:val="16"/>
          <w:szCs w:val="16"/>
        </w:rPr>
      </w:pPr>
      <w:r w:rsidRPr="008953EF">
        <w:rPr>
          <w:rFonts w:ascii="Lato" w:hAnsi="Lato" w:cstheme="minorHAnsi"/>
          <w:color w:val="000000"/>
          <w:sz w:val="16"/>
          <w:szCs w:val="16"/>
          <w:lang w:val="fr-CA"/>
        </w:rPr>
        <w:t xml:space="preserve">Utilisez des aides visuelles ainsi que des mots (par exemple, des brochures </w:t>
      </w:r>
      <w:hyperlink r:id="rId20" w:history="1">
        <w:proofErr w:type="spellStart"/>
        <w:r w:rsidR="003640B4" w:rsidRPr="008953EF">
          <w:rPr>
            <w:rStyle w:val="Hyperlink"/>
            <w:rFonts w:ascii="Lato" w:hAnsi="Lato"/>
            <w:sz w:val="16"/>
            <w:szCs w:val="16"/>
          </w:rPr>
          <w:t>EasyHealth</w:t>
        </w:r>
        <w:proofErr w:type="spellEnd"/>
      </w:hyperlink>
      <w:r w:rsidR="003640B4" w:rsidRPr="008953EF">
        <w:rPr>
          <w:rFonts w:ascii="Lato" w:hAnsi="Lato"/>
          <w:sz w:val="16"/>
          <w:szCs w:val="16"/>
        </w:rPr>
        <w:t xml:space="preserve"> </w:t>
      </w:r>
      <w:r w:rsidRPr="008953EF">
        <w:rPr>
          <w:rFonts w:ascii="Lato" w:hAnsi="Lato" w:cstheme="minorHAnsi"/>
          <w:color w:val="000000"/>
          <w:sz w:val="16"/>
          <w:szCs w:val="16"/>
          <w:lang w:val="fr-CA"/>
        </w:rPr>
        <w:t>faciles à lire</w:t>
      </w:r>
      <w:r w:rsidR="003640B4" w:rsidRPr="008953EF">
        <w:rPr>
          <w:rFonts w:ascii="Lato" w:hAnsi="Lato"/>
          <w:sz w:val="16"/>
          <w:szCs w:val="16"/>
        </w:rPr>
        <w:t>).</w:t>
      </w:r>
    </w:p>
    <w:p w14:paraId="7D7C39F2" w14:textId="78493D5D" w:rsidR="003640B4" w:rsidRPr="008953EF" w:rsidRDefault="00783E73" w:rsidP="00A05F23">
      <w:pPr>
        <w:pStyle w:val="Endnote-Context"/>
        <w:rPr>
          <w:rFonts w:ascii="Lato" w:hAnsi="Lato"/>
          <w:sz w:val="16"/>
          <w:szCs w:val="16"/>
        </w:rPr>
      </w:pPr>
      <w:r w:rsidRPr="008953EF">
        <w:rPr>
          <w:rFonts w:ascii="Lato" w:hAnsi="Lato" w:cstheme="minorHAnsi"/>
          <w:color w:val="000000"/>
          <w:sz w:val="16"/>
          <w:szCs w:val="16"/>
          <w:lang w:val="fr-CA"/>
        </w:rPr>
        <w:t>Demandez de l'aide pour surveiller les symptômes cibles : utilisez des outils de surveillance (p. ex.,</w:t>
      </w:r>
      <w:r w:rsidR="003640B4" w:rsidRPr="008953EF">
        <w:rPr>
          <w:rFonts w:ascii="Lato" w:hAnsi="Lato"/>
          <w:sz w:val="16"/>
          <w:szCs w:val="16"/>
        </w:rPr>
        <w:t xml:space="preserve"> </w:t>
      </w:r>
      <w:hyperlink r:id="rId21" w:history="1">
        <w:r w:rsidRPr="008953EF">
          <w:rPr>
            <w:rStyle w:val="Hyperlink"/>
            <w:rFonts w:ascii="Lato" w:hAnsi="Lato"/>
            <w:sz w:val="16"/>
            <w:szCs w:val="16"/>
            <w:lang w:val="fr-CA"/>
          </w:rPr>
          <w:t>le Système d’observation directe</w:t>
        </w:r>
        <w:r w:rsidRPr="008953EF">
          <w:rPr>
            <w:rStyle w:val="Hyperlink"/>
            <w:rFonts w:ascii="Lato" w:hAnsi="Lato"/>
            <w:sz w:val="16"/>
            <w:szCs w:val="16"/>
          </w:rPr>
          <w:t xml:space="preserve"> </w:t>
        </w:r>
      </w:hyperlink>
      <w:r w:rsidR="003640B4" w:rsidRPr="008953EF">
        <w:rPr>
          <w:rFonts w:ascii="Lato" w:hAnsi="Lato"/>
          <w:sz w:val="16"/>
          <w:szCs w:val="16"/>
        </w:rPr>
        <w:t xml:space="preserve"> </w:t>
      </w:r>
      <w:proofErr w:type="spellStart"/>
      <w:r w:rsidR="003640B4" w:rsidRPr="008953EF">
        <w:rPr>
          <w:rFonts w:ascii="Lato" w:hAnsi="Lato"/>
          <w:sz w:val="16"/>
          <w:szCs w:val="16"/>
        </w:rPr>
        <w:t>o</w:t>
      </w:r>
      <w:r w:rsidRPr="008953EF">
        <w:rPr>
          <w:rFonts w:ascii="Lato" w:hAnsi="Lato"/>
          <w:sz w:val="16"/>
          <w:szCs w:val="16"/>
        </w:rPr>
        <w:t>u</w:t>
      </w:r>
      <w:proofErr w:type="spellEnd"/>
      <w:r w:rsidR="003640B4" w:rsidRPr="008953EF">
        <w:rPr>
          <w:rFonts w:ascii="Lato" w:hAnsi="Lato"/>
          <w:sz w:val="16"/>
          <w:szCs w:val="16"/>
        </w:rPr>
        <w:t xml:space="preserve"> </w:t>
      </w:r>
      <w:hyperlink r:id="rId22" w:history="1">
        <w:r w:rsidRPr="008953EF">
          <w:rPr>
            <w:rStyle w:val="Hyperlink"/>
            <w:rFonts w:ascii="Lato" w:hAnsi="Lato"/>
            <w:sz w:val="16"/>
            <w:szCs w:val="16"/>
            <w:lang w:val="fr-CA"/>
          </w:rPr>
          <w:t>le Tableau de surveillance : ABC (Antécédent-Comportement-Conséquence</w:t>
        </w:r>
      </w:hyperlink>
      <w:r w:rsidR="003640B4" w:rsidRPr="008953EF">
        <w:rPr>
          <w:rFonts w:ascii="Lato" w:hAnsi="Lato"/>
          <w:sz w:val="16"/>
          <w:szCs w:val="16"/>
        </w:rPr>
        <w:t>).</w:t>
      </w:r>
    </w:p>
    <w:p w14:paraId="10CF1883" w14:textId="2CF4F46B" w:rsidR="003640B4" w:rsidRPr="008953EF" w:rsidRDefault="00783E73"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p>
    <w:p w14:paraId="45283C0A" w14:textId="1383467B" w:rsidR="003640B4" w:rsidRPr="008953EF" w:rsidRDefault="00000000" w:rsidP="0069631F">
      <w:pPr>
        <w:pStyle w:val="Endnote-Link"/>
        <w:spacing w:after="0"/>
        <w:rPr>
          <w:rFonts w:ascii="Lato" w:hAnsi="Lato"/>
          <w:sz w:val="16"/>
          <w:szCs w:val="16"/>
          <w:u w:val="single"/>
          <w:lang w:val="en-US"/>
        </w:rPr>
      </w:pPr>
      <w:hyperlink r:id="rId23" w:history="1">
        <w:r w:rsidR="00783E73" w:rsidRPr="008953EF">
          <w:rPr>
            <w:rStyle w:val="Hyperlink"/>
            <w:rFonts w:ascii="Lato" w:hAnsi="Lato"/>
            <w:sz w:val="16"/>
            <w:szCs w:val="16"/>
            <w:lang w:val="fr-CA"/>
          </w:rPr>
          <w:t>L’approche ‘HELP’ (AIDE): pour les problèmes émotionnels et comportementaux</w:t>
        </w:r>
      </w:hyperlink>
    </w:p>
    <w:p w14:paraId="33941969" w14:textId="02B06306" w:rsidR="003640B4" w:rsidRPr="008953EF" w:rsidRDefault="00000000" w:rsidP="0069631F">
      <w:pPr>
        <w:pStyle w:val="Endnote-Link"/>
        <w:spacing w:after="0"/>
        <w:rPr>
          <w:rFonts w:ascii="Lato" w:hAnsi="Lato"/>
          <w:sz w:val="16"/>
          <w:szCs w:val="16"/>
          <w:u w:val="single"/>
          <w:lang w:val="en-US"/>
        </w:rPr>
      </w:pPr>
      <w:hyperlink r:id="rId24" w:history="1">
        <w:r w:rsidR="00783E73" w:rsidRPr="008953EF">
          <w:rPr>
            <w:rStyle w:val="Hyperlink"/>
            <w:rFonts w:ascii="Lato" w:hAnsi="Lato"/>
            <w:sz w:val="16"/>
            <w:szCs w:val="16"/>
            <w:lang w:val="fr-CA"/>
          </w:rPr>
          <w:t>Autres outils et fiches d'information sur la santé mental</w:t>
        </w:r>
        <w:r w:rsidR="003640B4" w:rsidRPr="008953EF">
          <w:rPr>
            <w:rStyle w:val="Hyperlink"/>
            <w:rFonts w:ascii="Lato" w:hAnsi="Lato"/>
            <w:sz w:val="16"/>
            <w:szCs w:val="16"/>
            <w:lang w:val="en-US"/>
          </w:rPr>
          <w:t>e</w:t>
        </w:r>
      </w:hyperlink>
    </w:p>
    <w:p w14:paraId="2CCEB57C" w14:textId="5579920A" w:rsidR="006C0A38" w:rsidRPr="008953EF" w:rsidRDefault="00783E73" w:rsidP="0069631F">
      <w:pPr>
        <w:pStyle w:val="Endnote-Link"/>
        <w:spacing w:after="0"/>
        <w:rPr>
          <w:rFonts w:ascii="Lato" w:hAnsi="Lato"/>
          <w:b/>
          <w:bCs/>
          <w:sz w:val="16"/>
          <w:szCs w:val="16"/>
          <w:lang w:val="en-US"/>
        </w:rPr>
      </w:pPr>
      <w:r w:rsidRPr="008953EF">
        <w:rPr>
          <w:rFonts w:ascii="Lato" w:hAnsi="Lato"/>
          <w:b/>
          <w:bCs/>
          <w:sz w:val="16"/>
          <w:szCs w:val="16"/>
          <w:lang w:val="fr-CA"/>
        </w:rPr>
        <w:t>Questionnaires d'auto-évaluation et d'information sur la dépression et l'anxiété élaborés pour les personnes atteintes de DID</w:t>
      </w:r>
      <w:r w:rsidR="006C0A38" w:rsidRPr="008953EF">
        <w:rPr>
          <w:rFonts w:ascii="Lato" w:hAnsi="Lato"/>
          <w:b/>
          <w:bCs/>
          <w:sz w:val="16"/>
          <w:szCs w:val="16"/>
          <w:lang w:val="en-US"/>
        </w:rPr>
        <w:t>:</w:t>
      </w:r>
    </w:p>
    <w:p w14:paraId="11150E52" w14:textId="6A03E438" w:rsidR="006C0A38" w:rsidRPr="008953EF" w:rsidRDefault="00000000" w:rsidP="0069631F">
      <w:pPr>
        <w:pStyle w:val="Endnote-Link"/>
        <w:spacing w:before="0" w:after="0"/>
        <w:rPr>
          <w:rFonts w:ascii="Lato" w:hAnsi="Lato"/>
          <w:sz w:val="16"/>
          <w:szCs w:val="16"/>
          <w:lang w:val="en-US"/>
        </w:rPr>
      </w:pPr>
      <w:hyperlink r:id="rId25" w:history="1">
        <w:r w:rsidR="003640B4" w:rsidRPr="008953EF">
          <w:rPr>
            <w:rStyle w:val="Hyperlink"/>
            <w:rFonts w:ascii="Lato" w:hAnsi="Lato"/>
            <w:sz w:val="16"/>
            <w:szCs w:val="16"/>
            <w:lang w:val="en-US"/>
          </w:rPr>
          <w:t>Glasgow Depression Scale for People with a Learning Disability</w:t>
        </w:r>
      </w:hyperlink>
      <w:r w:rsidR="006C0A38" w:rsidRPr="008953EF">
        <w:rPr>
          <w:rStyle w:val="Hyperlink"/>
          <w:rFonts w:ascii="Lato" w:hAnsi="Lato"/>
          <w:sz w:val="16"/>
          <w:szCs w:val="16"/>
          <w:lang w:val="en-US"/>
        </w:rPr>
        <w:t xml:space="preserve">, </w:t>
      </w:r>
      <w:r w:rsidR="00783E73" w:rsidRPr="008953EF">
        <w:rPr>
          <w:rFonts w:ascii="Lato" w:hAnsi="Lato"/>
          <w:color w:val="0563C1" w:themeColor="hyperlink"/>
          <w:sz w:val="16"/>
          <w:szCs w:val="16"/>
          <w:u w:val="single"/>
          <w:lang w:val="en-US"/>
        </w:rPr>
        <w:t xml:space="preserve">de </w:t>
      </w:r>
      <w:proofErr w:type="spellStart"/>
      <w:r w:rsidR="00783E73" w:rsidRPr="008953EF">
        <w:rPr>
          <w:rFonts w:ascii="Lato" w:hAnsi="Lato"/>
          <w:color w:val="0563C1" w:themeColor="hyperlink"/>
          <w:sz w:val="16"/>
          <w:szCs w:val="16"/>
          <w:u w:val="single"/>
          <w:lang w:val="en-US"/>
        </w:rPr>
        <w:t>l’Université</w:t>
      </w:r>
      <w:proofErr w:type="spellEnd"/>
      <w:r w:rsidR="00783E73" w:rsidRPr="008953EF">
        <w:rPr>
          <w:rFonts w:ascii="Lato" w:hAnsi="Lato"/>
          <w:color w:val="0563C1" w:themeColor="hyperlink"/>
          <w:sz w:val="16"/>
          <w:szCs w:val="16"/>
          <w:u w:val="single"/>
          <w:lang w:val="en-US"/>
        </w:rPr>
        <w:t xml:space="preserve"> de Glasgow</w:t>
      </w:r>
    </w:p>
    <w:p w14:paraId="6FD32312" w14:textId="05EE363F" w:rsidR="006C0A38" w:rsidRPr="008953EF" w:rsidRDefault="00000000" w:rsidP="0069631F">
      <w:pPr>
        <w:pStyle w:val="Endnote-Link"/>
        <w:spacing w:after="0"/>
        <w:rPr>
          <w:rFonts w:ascii="Lato" w:hAnsi="Lato"/>
          <w:sz w:val="16"/>
          <w:szCs w:val="16"/>
          <w:lang w:val="en-US"/>
        </w:rPr>
      </w:pPr>
      <w:hyperlink r:id="rId26" w:history="1">
        <w:r w:rsidR="003640B4" w:rsidRPr="008953EF">
          <w:rPr>
            <w:rStyle w:val="Hyperlink"/>
            <w:rFonts w:ascii="Lato" w:hAnsi="Lato"/>
            <w:sz w:val="16"/>
            <w:szCs w:val="16"/>
            <w:lang w:val="en-US"/>
          </w:rPr>
          <w:t xml:space="preserve">Glasgow Depression Scale: </w:t>
        </w:r>
      </w:hyperlink>
      <w:proofErr w:type="spellStart"/>
      <w:r w:rsidR="00783E73" w:rsidRPr="008953EF">
        <w:rPr>
          <w:rFonts w:ascii="Lato" w:hAnsi="Lato"/>
          <w:color w:val="0563C1" w:themeColor="hyperlink"/>
          <w:sz w:val="16"/>
          <w:szCs w:val="16"/>
          <w:u w:val="single"/>
          <w:lang w:val="fr-CA"/>
        </w:rPr>
        <w:t>Carer</w:t>
      </w:r>
      <w:proofErr w:type="spellEnd"/>
      <w:r w:rsidR="00783E73" w:rsidRPr="008953EF">
        <w:rPr>
          <w:rFonts w:ascii="Lato" w:hAnsi="Lato"/>
          <w:color w:val="0563C1" w:themeColor="hyperlink"/>
          <w:sz w:val="16"/>
          <w:szCs w:val="16"/>
          <w:u w:val="single"/>
          <w:lang w:val="fr-CA"/>
        </w:rPr>
        <w:t xml:space="preserve"> </w:t>
      </w:r>
      <w:proofErr w:type="spellStart"/>
      <w:r w:rsidR="00783E73" w:rsidRPr="008953EF">
        <w:rPr>
          <w:rFonts w:ascii="Lato" w:hAnsi="Lato"/>
          <w:color w:val="0563C1" w:themeColor="hyperlink"/>
          <w:sz w:val="16"/>
          <w:szCs w:val="16"/>
          <w:u w:val="single"/>
          <w:lang w:val="fr-CA"/>
        </w:rPr>
        <w:t>Supplement</w:t>
      </w:r>
      <w:proofErr w:type="spellEnd"/>
      <w:r w:rsidR="00783E73" w:rsidRPr="008953EF">
        <w:rPr>
          <w:rFonts w:ascii="Lato" w:hAnsi="Lato"/>
          <w:color w:val="0563C1" w:themeColor="hyperlink"/>
          <w:sz w:val="16"/>
          <w:szCs w:val="16"/>
          <w:u w:val="single"/>
          <w:lang w:val="fr-CA"/>
        </w:rPr>
        <w:t>, de l’Université de Glasgow</w:t>
      </w:r>
    </w:p>
    <w:p w14:paraId="11F56E17" w14:textId="440E55BB" w:rsidR="006C0A38" w:rsidRPr="008953EF" w:rsidRDefault="00000000" w:rsidP="0069631F">
      <w:pPr>
        <w:pStyle w:val="Endnote-Link"/>
        <w:spacing w:after="0"/>
        <w:rPr>
          <w:rFonts w:ascii="Lato" w:hAnsi="Lato"/>
          <w:sz w:val="16"/>
          <w:szCs w:val="16"/>
          <w:lang w:val="en-US"/>
        </w:rPr>
      </w:pPr>
      <w:hyperlink r:id="rId27" w:history="1">
        <w:r w:rsidR="003640B4" w:rsidRPr="008953EF">
          <w:rPr>
            <w:rStyle w:val="Hyperlink"/>
            <w:rFonts w:ascii="Lato" w:hAnsi="Lato"/>
            <w:sz w:val="16"/>
            <w:szCs w:val="16"/>
            <w:lang w:val="en-US"/>
          </w:rPr>
          <w:t>Glasgow Anxiety Scale for People with an Intellectual Disability</w:t>
        </w:r>
      </w:hyperlink>
      <w:r w:rsidR="006C0A38" w:rsidRPr="008953EF">
        <w:rPr>
          <w:rStyle w:val="Hyperlink"/>
          <w:rFonts w:ascii="Lato" w:hAnsi="Lato"/>
          <w:sz w:val="16"/>
          <w:szCs w:val="16"/>
          <w:lang w:val="en-US"/>
        </w:rPr>
        <w:t xml:space="preserve">, </w:t>
      </w:r>
      <w:r w:rsidR="00783E73" w:rsidRPr="008953EF">
        <w:rPr>
          <w:rFonts w:ascii="Lato" w:hAnsi="Lato"/>
          <w:color w:val="0563C1" w:themeColor="hyperlink"/>
          <w:sz w:val="16"/>
          <w:szCs w:val="16"/>
          <w:u w:val="single"/>
          <w:lang w:val="fr-CA"/>
        </w:rPr>
        <w:t>de l’Université de Glasgow</w:t>
      </w:r>
    </w:p>
    <w:p w14:paraId="354EB695" w14:textId="5B980F08" w:rsidR="006C0A38" w:rsidRPr="008953EF" w:rsidRDefault="00783E73" w:rsidP="0069631F">
      <w:pPr>
        <w:pStyle w:val="Endnote-Link"/>
        <w:spacing w:after="0"/>
        <w:rPr>
          <w:rFonts w:ascii="Lato" w:hAnsi="Lato"/>
          <w:b/>
          <w:bCs/>
          <w:sz w:val="16"/>
          <w:szCs w:val="16"/>
          <w:lang w:val="en-US"/>
        </w:rPr>
      </w:pPr>
      <w:r w:rsidRPr="008953EF">
        <w:rPr>
          <w:rFonts w:ascii="Lato" w:hAnsi="Lato"/>
          <w:b/>
          <w:bCs/>
          <w:sz w:val="16"/>
          <w:szCs w:val="16"/>
          <w:lang w:val="fr-CA"/>
        </w:rPr>
        <w:t xml:space="preserve">Outils au sujet des </w:t>
      </w:r>
      <w:proofErr w:type="spellStart"/>
      <w:r w:rsidRPr="008953EF">
        <w:rPr>
          <w:rFonts w:ascii="Lato" w:hAnsi="Lato"/>
          <w:b/>
          <w:bCs/>
          <w:sz w:val="16"/>
          <w:szCs w:val="16"/>
          <w:lang w:val="fr-CA"/>
        </w:rPr>
        <w:t>medicaments</w:t>
      </w:r>
      <w:proofErr w:type="spellEnd"/>
      <w:r w:rsidRPr="008953EF">
        <w:rPr>
          <w:rFonts w:ascii="Lato" w:hAnsi="Lato"/>
          <w:b/>
          <w:bCs/>
          <w:sz w:val="16"/>
          <w:szCs w:val="16"/>
          <w:lang w:val="fr-CA"/>
        </w:rPr>
        <w:t xml:space="preserve"> psychiatriques</w:t>
      </w:r>
      <w:r w:rsidR="006C0A38" w:rsidRPr="008953EF">
        <w:rPr>
          <w:rFonts w:ascii="Lato" w:hAnsi="Lato"/>
          <w:b/>
          <w:bCs/>
          <w:sz w:val="16"/>
          <w:szCs w:val="16"/>
          <w:lang w:val="en-US"/>
        </w:rPr>
        <w:t>:</w:t>
      </w:r>
    </w:p>
    <w:bookmarkStart w:id="9" w:name="_Hlk78290134"/>
    <w:p w14:paraId="27BF51F7" w14:textId="77777777" w:rsidR="006C0A38" w:rsidRPr="008953EF" w:rsidRDefault="006C0A38" w:rsidP="0069631F">
      <w:pPr>
        <w:pStyle w:val="Endnote-Link"/>
        <w:spacing w:after="0"/>
        <w:rPr>
          <w:rFonts w:ascii="Lato" w:hAnsi="Lato"/>
          <w:sz w:val="16"/>
          <w:szCs w:val="16"/>
          <w:lang w:val="en-US"/>
        </w:rPr>
      </w:pPr>
      <w:r w:rsidRPr="008953EF">
        <w:rPr>
          <w:rFonts w:ascii="Lato" w:hAnsi="Lato"/>
          <w:sz w:val="16"/>
          <w:szCs w:val="16"/>
          <w:lang w:val="en-US"/>
        </w:rPr>
        <w:fldChar w:fldCharType="begin"/>
      </w:r>
      <w:r w:rsidRPr="008953EF">
        <w:rPr>
          <w:rFonts w:ascii="Lato" w:hAnsi="Lato"/>
          <w:sz w:val="16"/>
          <w:szCs w:val="16"/>
          <w:lang w:val="en-US"/>
        </w:rPr>
        <w:instrText xml:space="preserve"> HYPERLINK "http://ddprimarycare.surreyplace.ca/wp-content/uploads/2018/03/Psychotropic_Med_issues.pdf" </w:instrText>
      </w:r>
      <w:r w:rsidRPr="008953EF">
        <w:rPr>
          <w:rFonts w:ascii="Lato" w:hAnsi="Lato"/>
          <w:sz w:val="16"/>
          <w:szCs w:val="16"/>
          <w:lang w:val="en-US"/>
        </w:rPr>
      </w:r>
      <w:r w:rsidRPr="008953EF">
        <w:rPr>
          <w:rFonts w:ascii="Lato" w:hAnsi="Lato"/>
          <w:sz w:val="16"/>
          <w:szCs w:val="16"/>
          <w:lang w:val="en-US"/>
        </w:rPr>
        <w:fldChar w:fldCharType="separate"/>
      </w:r>
      <w:r w:rsidRPr="008953EF">
        <w:rPr>
          <w:rStyle w:val="Hyperlink"/>
          <w:rFonts w:ascii="Lato" w:hAnsi="Lato"/>
          <w:sz w:val="16"/>
          <w:szCs w:val="16"/>
          <w:lang w:val="en-US"/>
        </w:rPr>
        <w:t>Psychotropic Medication Review</w:t>
      </w:r>
      <w:r w:rsidRPr="008953EF">
        <w:rPr>
          <w:rFonts w:ascii="Lato" w:hAnsi="Lato"/>
          <w:sz w:val="16"/>
          <w:szCs w:val="16"/>
          <w:lang w:val="en-US"/>
        </w:rPr>
        <w:fldChar w:fldCharType="end"/>
      </w:r>
      <w:r w:rsidRPr="008953EF">
        <w:rPr>
          <w:rFonts w:ascii="Lato" w:hAnsi="Lato"/>
          <w:sz w:val="16"/>
          <w:szCs w:val="16"/>
          <w:lang w:val="en-US"/>
        </w:rPr>
        <w:t xml:space="preserve"> – indications and considerations for prescribing</w:t>
      </w:r>
    </w:p>
    <w:bookmarkEnd w:id="9"/>
    <w:p w14:paraId="2F6BA8A8" w14:textId="23205AC2" w:rsidR="003640B4" w:rsidRPr="008953EF" w:rsidRDefault="006C0A38" w:rsidP="009575F0">
      <w:pPr>
        <w:pStyle w:val="Endnote-Link"/>
        <w:rPr>
          <w:rFonts w:ascii="Lato" w:hAnsi="Lato"/>
          <w:sz w:val="16"/>
          <w:szCs w:val="16"/>
        </w:rPr>
      </w:pPr>
      <w:r w:rsidRPr="008953EF">
        <w:rPr>
          <w:rFonts w:ascii="Lato" w:hAnsi="Lato"/>
          <w:sz w:val="16"/>
          <w:szCs w:val="16"/>
          <w:lang w:val="en-US"/>
        </w:rPr>
        <w:fldChar w:fldCharType="begin"/>
      </w:r>
      <w:r w:rsidRPr="008953EF">
        <w:rPr>
          <w:rFonts w:ascii="Lato" w:hAnsi="Lato"/>
          <w:sz w:val="16"/>
          <w:szCs w:val="16"/>
          <w:lang w:val="en-US"/>
        </w:rPr>
        <w:instrText xml:space="preserve"> HYPERLINK "http://ddprimarycare.surreyplace.ca/wp-content/uploads/2018/03/Auditing_Psychotropic_Med.pdf" </w:instrText>
      </w:r>
      <w:r w:rsidRPr="008953EF">
        <w:rPr>
          <w:rFonts w:ascii="Lato" w:hAnsi="Lato"/>
          <w:sz w:val="16"/>
          <w:szCs w:val="16"/>
          <w:lang w:val="en-US"/>
        </w:rPr>
      </w:r>
      <w:r w:rsidRPr="008953EF">
        <w:rPr>
          <w:rFonts w:ascii="Lato" w:hAnsi="Lato"/>
          <w:sz w:val="16"/>
          <w:szCs w:val="16"/>
          <w:lang w:val="en-US"/>
        </w:rPr>
        <w:fldChar w:fldCharType="separate"/>
      </w:r>
      <w:r w:rsidRPr="008953EF">
        <w:rPr>
          <w:rStyle w:val="Hyperlink"/>
          <w:rFonts w:ascii="Lato" w:hAnsi="Lato"/>
          <w:sz w:val="16"/>
          <w:szCs w:val="16"/>
          <w:lang w:val="en-US"/>
        </w:rPr>
        <w:t>Auditing Psychotropic Medications</w:t>
      </w:r>
      <w:r w:rsidRPr="008953EF">
        <w:rPr>
          <w:rFonts w:ascii="Lato" w:hAnsi="Lato"/>
          <w:sz w:val="16"/>
          <w:szCs w:val="16"/>
          <w:lang w:val="en-US"/>
        </w:rPr>
        <w:fldChar w:fldCharType="end"/>
      </w:r>
      <w:r w:rsidRPr="008953EF">
        <w:rPr>
          <w:rFonts w:ascii="Lato" w:hAnsi="Lato"/>
          <w:sz w:val="16"/>
          <w:szCs w:val="16"/>
          <w:lang w:val="en-US"/>
        </w:rPr>
        <w:t xml:space="preserve"> </w:t>
      </w:r>
      <w:bookmarkStart w:id="10" w:name="_Hlk78359827"/>
      <w:r w:rsidRPr="008953EF">
        <w:rPr>
          <w:rFonts w:ascii="Lato" w:hAnsi="Lato"/>
          <w:sz w:val="16"/>
          <w:szCs w:val="16"/>
          <w:lang w:val="en-US"/>
        </w:rPr>
        <w:t>– questions to ask in reviewing current use of psychotropic medications</w:t>
      </w:r>
      <w:bookmarkEnd w:id="10"/>
    </w:p>
  </w:endnote>
  <w:endnote w:id="28">
    <w:p w14:paraId="2AE758E5" w14:textId="6A83DB17" w:rsidR="003640B4" w:rsidRDefault="003640B4" w:rsidP="0069631F">
      <w:pPr>
        <w:pStyle w:val="Endnote-H4"/>
        <w:spacing w:after="0"/>
      </w:pPr>
      <w:r>
        <w:rPr>
          <w:rStyle w:val="EndnoteReference"/>
        </w:rPr>
        <w:endnoteRef/>
      </w:r>
      <w:r>
        <w:t xml:space="preserve"> </w:t>
      </w:r>
      <w:r w:rsidR="0000208B">
        <w:rPr>
          <w:rFonts w:cstheme="minorHAnsi"/>
          <w:color w:val="000000"/>
          <w:lang w:val="fr-CA"/>
        </w:rPr>
        <w:t>Comportements qui représentent un défi</w:t>
      </w:r>
    </w:p>
    <w:p w14:paraId="084A0237" w14:textId="0DD18EDF" w:rsidR="003640B4" w:rsidRPr="008953EF" w:rsidRDefault="0000208B"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Considérez, surtout avant de poser un diagnostic de santé mentale ou de prescrire un médicament : les causes physiques possibles (p. ex., écartez la possibilité d’une infection, de la constipation ou d’un mal </w:t>
      </w:r>
      <w:proofErr w:type="gramStart"/>
      <w:r w:rsidRPr="008953EF">
        <w:rPr>
          <w:rFonts w:ascii="Lato" w:hAnsi="Lato" w:cstheme="minorHAnsi"/>
          <w:color w:val="000000"/>
          <w:sz w:val="16"/>
          <w:szCs w:val="16"/>
          <w:lang w:val="fr-CA"/>
        </w:rPr>
        <w:t>de  dents</w:t>
      </w:r>
      <w:proofErr w:type="gramEnd"/>
      <w:r w:rsidRPr="008953EF">
        <w:rPr>
          <w:rFonts w:ascii="Lato" w:hAnsi="Lato" w:cstheme="minorHAnsi"/>
          <w:color w:val="000000"/>
          <w:sz w:val="16"/>
          <w:szCs w:val="16"/>
          <w:lang w:val="fr-CA"/>
        </w:rPr>
        <w:t>); les changements environnementaux (p. ex., changement de domicile, réduction du soutien, employé régulier en vacances) ainsi que les expériences de vie (p. ex., un stress, un traumatisme ou un deuil</w:t>
      </w:r>
      <w:r w:rsidR="003640B4" w:rsidRPr="008953EF">
        <w:rPr>
          <w:rFonts w:ascii="Lato" w:hAnsi="Lato"/>
          <w:sz w:val="16"/>
          <w:szCs w:val="16"/>
        </w:rPr>
        <w:t xml:space="preserve">). </w:t>
      </w:r>
    </w:p>
    <w:p w14:paraId="3265CA0C" w14:textId="7DB48E0A"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Tout comportement est une forme de communication. Les comportements qui représentent un défi (p. ex. agression, automutilation ou irritabilité) ne sont pas des troubles psychiatriques. Les comportements qui posent problème sont souvent le signe d’une détresse cachée, dont la cause est souvent multiple</w:t>
      </w:r>
      <w:r w:rsidR="003640B4" w:rsidRPr="008953EF">
        <w:rPr>
          <w:rFonts w:ascii="Lato" w:hAnsi="Lato"/>
          <w:sz w:val="16"/>
          <w:szCs w:val="16"/>
        </w:rPr>
        <w:t xml:space="preserve">. </w:t>
      </w:r>
    </w:p>
    <w:p w14:paraId="0604F1F3" w14:textId="51D5687C"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Les médicaments antipsychotiques ne devraient plus être considérés comme des traitements de première ligne ou de routine acceptables pour les comportements qui posent un défi</w:t>
      </w:r>
      <w:r w:rsidR="003640B4" w:rsidRPr="008953EF">
        <w:rPr>
          <w:rFonts w:ascii="Lato" w:hAnsi="Lato"/>
          <w:sz w:val="16"/>
          <w:szCs w:val="16"/>
        </w:rPr>
        <w:t>.</w:t>
      </w:r>
    </w:p>
    <w:p w14:paraId="7431CA63" w14:textId="13CCCE33" w:rsidR="003640B4" w:rsidRPr="008953EF" w:rsidRDefault="0000208B"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p>
    <w:p w14:paraId="352E3060" w14:textId="18673C26" w:rsidR="003640B4" w:rsidRPr="008953EF" w:rsidRDefault="00000000" w:rsidP="0069631F">
      <w:pPr>
        <w:pStyle w:val="Endnote-Link"/>
        <w:spacing w:after="0"/>
        <w:rPr>
          <w:rFonts w:ascii="Lato" w:hAnsi="Lato"/>
          <w:sz w:val="16"/>
          <w:szCs w:val="16"/>
        </w:rPr>
      </w:pPr>
      <w:hyperlink r:id="rId28" w:history="1">
        <w:r w:rsidR="0000208B" w:rsidRPr="008953EF">
          <w:rPr>
            <w:rStyle w:val="Hyperlink"/>
            <w:rFonts w:ascii="Lato" w:hAnsi="Lato"/>
            <w:sz w:val="16"/>
            <w:szCs w:val="16"/>
            <w:lang w:val="fr-CA"/>
          </w:rPr>
          <w:t>Tableau de surveillance- Système d’observation directe</w:t>
        </w:r>
        <w:r w:rsidR="0000208B" w:rsidRPr="008953EF">
          <w:rPr>
            <w:rStyle w:val="Hyperlink"/>
            <w:rFonts w:ascii="Lato" w:hAnsi="Lato"/>
            <w:sz w:val="16"/>
            <w:szCs w:val="16"/>
            <w:lang w:val="en-US"/>
          </w:rPr>
          <w:t xml:space="preserve"> </w:t>
        </w:r>
      </w:hyperlink>
    </w:p>
    <w:p w14:paraId="4802A8D1" w14:textId="4E58C233" w:rsidR="003640B4" w:rsidRPr="008953EF" w:rsidRDefault="00000000" w:rsidP="0069631F">
      <w:pPr>
        <w:pStyle w:val="Endnote-Link"/>
        <w:spacing w:after="0"/>
        <w:rPr>
          <w:rFonts w:ascii="Lato" w:hAnsi="Lato"/>
          <w:sz w:val="16"/>
          <w:szCs w:val="16"/>
        </w:rPr>
      </w:pPr>
      <w:hyperlink r:id="rId29" w:history="1">
        <w:r w:rsidR="0000208B" w:rsidRPr="008953EF">
          <w:rPr>
            <w:rStyle w:val="Hyperlink"/>
            <w:rFonts w:ascii="Lato" w:hAnsi="Lato"/>
            <w:sz w:val="16"/>
            <w:szCs w:val="16"/>
            <w:lang w:val="fr-CA"/>
          </w:rPr>
          <w:t>Tableau de surveillance : ABC (Antécédent-Comportement-Conséquence</w:t>
        </w:r>
        <w:r w:rsidR="0000208B" w:rsidRPr="008953EF">
          <w:rPr>
            <w:rStyle w:val="Hyperlink"/>
            <w:rFonts w:ascii="Lato" w:hAnsi="Lato"/>
            <w:sz w:val="16"/>
            <w:szCs w:val="16"/>
            <w:lang w:val="en-US"/>
          </w:rPr>
          <w:t xml:space="preserve"> </w:t>
        </w:r>
      </w:hyperlink>
    </w:p>
    <w:p w14:paraId="291340E1" w14:textId="7D4C80E3" w:rsidR="003640B4" w:rsidRPr="008953EF" w:rsidRDefault="00000000" w:rsidP="0069631F">
      <w:pPr>
        <w:pStyle w:val="Endnote-Link"/>
        <w:spacing w:after="0"/>
        <w:rPr>
          <w:rFonts w:ascii="Lato" w:hAnsi="Lato"/>
          <w:sz w:val="16"/>
          <w:szCs w:val="16"/>
        </w:rPr>
      </w:pPr>
      <w:hyperlink r:id="rId30" w:history="1">
        <w:r w:rsidR="003640B4" w:rsidRPr="008953EF">
          <w:rPr>
            <w:rStyle w:val="Hyperlink"/>
            <w:rFonts w:ascii="Lato" w:hAnsi="Lato"/>
            <w:sz w:val="16"/>
            <w:szCs w:val="16"/>
          </w:rPr>
          <w:t>Initial Management of Behavioural Crises</w:t>
        </w:r>
        <w:r w:rsidR="0000208B" w:rsidRPr="008953EF">
          <w:rPr>
            <w:rStyle w:val="Hyperlink"/>
            <w:rFonts w:ascii="Lato" w:hAnsi="Lato"/>
            <w:sz w:val="16"/>
            <w:szCs w:val="16"/>
          </w:rPr>
          <w:t>, dans</w:t>
        </w:r>
        <w:r w:rsidR="003640B4" w:rsidRPr="008953EF">
          <w:rPr>
            <w:rStyle w:val="Hyperlink"/>
            <w:rFonts w:ascii="Lato" w:hAnsi="Lato"/>
            <w:sz w:val="16"/>
            <w:szCs w:val="16"/>
          </w:rPr>
          <w:t xml:space="preserve"> Family Medicine</w:t>
        </w:r>
      </w:hyperlink>
      <w:r w:rsidR="003640B4" w:rsidRPr="008953EF">
        <w:rPr>
          <w:rFonts w:ascii="Lato" w:hAnsi="Lato"/>
          <w:sz w:val="16"/>
          <w:szCs w:val="16"/>
        </w:rPr>
        <w:t xml:space="preserve"> </w:t>
      </w:r>
    </w:p>
    <w:p w14:paraId="62ACC13E" w14:textId="7FEB15F5" w:rsidR="003640B4" w:rsidRPr="008953EF" w:rsidRDefault="00000000" w:rsidP="0069631F">
      <w:pPr>
        <w:pStyle w:val="Endnote-Link"/>
        <w:spacing w:after="0"/>
        <w:rPr>
          <w:rFonts w:ascii="Lato" w:hAnsi="Lato"/>
          <w:sz w:val="16"/>
          <w:szCs w:val="16"/>
        </w:rPr>
      </w:pPr>
      <w:hyperlink r:id="rId31" w:history="1">
        <w:r w:rsidR="0000208B" w:rsidRPr="008953EF">
          <w:rPr>
            <w:rStyle w:val="Hyperlink"/>
            <w:rFonts w:ascii="Lato" w:hAnsi="Lato"/>
            <w:sz w:val="16"/>
            <w:szCs w:val="16"/>
            <w:lang w:val="fr-CA"/>
          </w:rPr>
          <w:t>L’approche ‘HELP’ (AIDE): pour les problèmes émotionnels et comportementaux</w:t>
        </w:r>
        <w:r w:rsidR="0000208B" w:rsidRPr="008953EF">
          <w:rPr>
            <w:rStyle w:val="Hyperlink"/>
            <w:rFonts w:ascii="Lato" w:hAnsi="Lato"/>
            <w:sz w:val="16"/>
            <w:szCs w:val="16"/>
            <w:lang w:val="en-US"/>
          </w:rPr>
          <w:t xml:space="preserve"> </w:t>
        </w:r>
      </w:hyperlink>
    </w:p>
    <w:p w14:paraId="187E48A2" w14:textId="1F65480B" w:rsidR="003640B4" w:rsidRPr="008953EF" w:rsidRDefault="00000000" w:rsidP="0069631F">
      <w:pPr>
        <w:pStyle w:val="Endnote-Link"/>
        <w:spacing w:after="0"/>
        <w:rPr>
          <w:rFonts w:ascii="Lato" w:hAnsi="Lato"/>
          <w:b/>
          <w:bCs/>
          <w:sz w:val="16"/>
          <w:szCs w:val="16"/>
        </w:rPr>
      </w:pPr>
      <w:hyperlink r:id="rId32" w:history="1">
        <w:r w:rsidR="0000208B" w:rsidRPr="008953EF">
          <w:rPr>
            <w:rStyle w:val="Hyperlink"/>
            <w:rFonts w:ascii="Lato" w:hAnsi="Lato"/>
            <w:sz w:val="16"/>
            <w:szCs w:val="16"/>
            <w:lang w:val="fr-CA"/>
          </w:rPr>
          <w:t>Outil d'évaluation des risques pour adultes ayant des DID en situation de crise comportementale</w:t>
        </w:r>
        <w:r w:rsidR="0000208B" w:rsidRPr="008953EF">
          <w:rPr>
            <w:rStyle w:val="Hyperlink"/>
            <w:rFonts w:ascii="Lato" w:hAnsi="Lato"/>
            <w:sz w:val="16"/>
            <w:szCs w:val="16"/>
            <w:lang w:val="en-US"/>
          </w:rPr>
          <w:t xml:space="preserve"> </w:t>
        </w:r>
      </w:hyperlink>
    </w:p>
    <w:p w14:paraId="6F468E15" w14:textId="2ADBDFA8" w:rsidR="003640B4" w:rsidRPr="00905C5E" w:rsidRDefault="00000000" w:rsidP="00905C5E">
      <w:pPr>
        <w:pStyle w:val="Endnote-Link"/>
        <w:rPr>
          <w:color w:val="0563C1" w:themeColor="hyperlink"/>
          <w:u w:val="single"/>
        </w:rPr>
      </w:pPr>
      <w:hyperlink r:id="rId33" w:history="1">
        <w:r w:rsidR="0000208B" w:rsidRPr="008953EF">
          <w:rPr>
            <w:rStyle w:val="Hyperlink"/>
            <w:rFonts w:ascii="Lato" w:hAnsi="Lato"/>
            <w:sz w:val="16"/>
            <w:szCs w:val="16"/>
            <w:lang w:val="fr-CA"/>
          </w:rPr>
          <w:t>Autres outils susceptibles d'être utiles</w:t>
        </w:r>
        <w:r w:rsidR="0000208B" w:rsidRPr="008953EF">
          <w:rPr>
            <w:rStyle w:val="Hyperlink"/>
            <w:rFonts w:ascii="Lato" w:hAnsi="Lato"/>
            <w:sz w:val="16"/>
            <w:szCs w:val="16"/>
            <w:lang w:val="en-US"/>
          </w:rPr>
          <w:t xml:space="preserve"> </w:t>
        </w:r>
      </w:hyperlink>
    </w:p>
  </w:endnote>
  <w:endnote w:id="29">
    <w:p w14:paraId="3B341E07" w14:textId="4C3FAD5F" w:rsidR="003640B4" w:rsidRDefault="003640B4" w:rsidP="0069631F">
      <w:pPr>
        <w:pStyle w:val="Endnote-H4"/>
        <w:spacing w:after="0"/>
      </w:pPr>
      <w:r>
        <w:rPr>
          <w:rStyle w:val="EndnoteReference"/>
        </w:rPr>
        <w:endnoteRef/>
      </w:r>
      <w:r>
        <w:t xml:space="preserve"> </w:t>
      </w:r>
      <w:proofErr w:type="spellStart"/>
      <w:r w:rsidR="0000208B">
        <w:rPr>
          <w:rFonts w:cstheme="minorHAnsi"/>
          <w:color w:val="000000"/>
        </w:rPr>
        <w:t>Démence</w:t>
      </w:r>
      <w:proofErr w:type="spellEnd"/>
    </w:p>
    <w:p w14:paraId="5970C94F" w14:textId="6BB029A9" w:rsidR="003640B4" w:rsidRPr="008953EF" w:rsidRDefault="0000208B" w:rsidP="00732486">
      <w:pPr>
        <w:pStyle w:val="Endnote-Bullet-L1"/>
        <w:spacing w:after="0"/>
        <w:rPr>
          <w:rFonts w:ascii="Lato" w:hAnsi="Lato"/>
          <w:i/>
          <w:iCs/>
          <w:sz w:val="16"/>
          <w:szCs w:val="16"/>
        </w:rPr>
      </w:pPr>
      <w:r w:rsidRPr="008953EF">
        <w:rPr>
          <w:rFonts w:ascii="Lato" w:hAnsi="Lato" w:cstheme="minorHAnsi"/>
          <w:color w:val="000000"/>
          <w:sz w:val="16"/>
          <w:szCs w:val="16"/>
          <w:lang w:val="fr-CA"/>
        </w:rPr>
        <w:t>Pensez à la démence ; songez à utiliser la question suivante</w:t>
      </w:r>
      <w:r w:rsidR="003640B4" w:rsidRPr="008953EF">
        <w:rPr>
          <w:rFonts w:ascii="Lato" w:hAnsi="Lato"/>
          <w:i/>
          <w:iCs/>
          <w:sz w:val="16"/>
          <w:szCs w:val="16"/>
        </w:rPr>
        <w:t xml:space="preserve">: </w:t>
      </w:r>
    </w:p>
    <w:p w14:paraId="56E7CE0A" w14:textId="39B8B62C" w:rsidR="003640B4" w:rsidRPr="008953EF" w:rsidRDefault="0000208B" w:rsidP="0069631F">
      <w:pPr>
        <w:pStyle w:val="Endnote-Bullet-L2"/>
        <w:spacing w:after="0"/>
        <w:rPr>
          <w:rFonts w:ascii="Lato" w:hAnsi="Lato"/>
          <w:sz w:val="16"/>
          <w:szCs w:val="16"/>
        </w:rPr>
      </w:pPr>
      <w:r w:rsidRPr="008953EF">
        <w:rPr>
          <w:rFonts w:ascii="Lato" w:hAnsi="Lato" w:cstheme="minorHAnsi"/>
          <w:color w:val="000000"/>
          <w:sz w:val="16"/>
          <w:szCs w:val="16"/>
          <w:lang w:val="fr-CA"/>
        </w:rPr>
        <w:t>Êtes-vous encore capable de faire [une activité quotidienne] que vous faisiez avant</w:t>
      </w:r>
      <w:r w:rsidR="003640B4" w:rsidRPr="008953EF">
        <w:rPr>
          <w:rFonts w:ascii="Lato" w:hAnsi="Lato"/>
          <w:sz w:val="16"/>
          <w:szCs w:val="16"/>
        </w:rPr>
        <w:t xml:space="preserve">? </w:t>
      </w:r>
    </w:p>
    <w:p w14:paraId="15D83685" w14:textId="69D6025E" w:rsidR="003640B4" w:rsidRPr="008953EF" w:rsidRDefault="0000208B"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Si approprié, demandez aux personnes aidantes des questions au </w:t>
      </w:r>
      <w:proofErr w:type="gramStart"/>
      <w:r w:rsidRPr="008953EF">
        <w:rPr>
          <w:rFonts w:ascii="Lato" w:hAnsi="Lato" w:cstheme="minorHAnsi"/>
          <w:color w:val="000000"/>
          <w:sz w:val="16"/>
          <w:szCs w:val="16"/>
          <w:lang w:val="fr-CA"/>
        </w:rPr>
        <w:t>sujet  des</w:t>
      </w:r>
      <w:proofErr w:type="gramEnd"/>
      <w:r w:rsidRPr="008953EF">
        <w:rPr>
          <w:rFonts w:ascii="Lato" w:hAnsi="Lato" w:cstheme="minorHAnsi"/>
          <w:color w:val="000000"/>
          <w:sz w:val="16"/>
          <w:szCs w:val="16"/>
          <w:lang w:val="fr-CA"/>
        </w:rPr>
        <w:t xml:space="preserve"> symptômes précoces de démence (p. ex., pertes de mémoire soudaines, incontinence, perte d’habiletés et changements dans les habitudes de sommeil, la personnalité ou les comportements</w:t>
      </w:r>
      <w:r w:rsidR="003640B4" w:rsidRPr="008953EF">
        <w:rPr>
          <w:rFonts w:ascii="Lato" w:hAnsi="Lato"/>
          <w:sz w:val="16"/>
          <w:szCs w:val="16"/>
        </w:rPr>
        <w:t>).</w:t>
      </w:r>
    </w:p>
    <w:p w14:paraId="5DC00999" w14:textId="540989D2"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 xml:space="preserve">La démence est plus fréquente chez les personnes ayant des DID que dans l’ensemble de la population, et apparaît plus tôt chez les adultes avec le syndrome de Down. La maladie pourrait passer inaperçue, car les changements émotionnels, de comportements sociaux et de motivation associés peuvent être graduels et subtils. Le niveau de fonctionnement normal de base doit être mesuré et est nécessaire afin de </w:t>
      </w:r>
      <w:proofErr w:type="gramStart"/>
      <w:r w:rsidRPr="008953EF">
        <w:rPr>
          <w:rFonts w:ascii="Lato" w:hAnsi="Lato" w:cstheme="minorHAnsi"/>
          <w:color w:val="000000"/>
          <w:sz w:val="16"/>
          <w:szCs w:val="16"/>
          <w:lang w:val="fr-CA"/>
        </w:rPr>
        <w:t>pouvoir  comparer</w:t>
      </w:r>
      <w:proofErr w:type="gramEnd"/>
      <w:r w:rsidRPr="008953EF">
        <w:rPr>
          <w:rFonts w:ascii="Lato" w:hAnsi="Lato" w:cstheme="minorHAnsi"/>
          <w:color w:val="000000"/>
          <w:sz w:val="16"/>
          <w:szCs w:val="16"/>
          <w:lang w:val="fr-CA"/>
        </w:rPr>
        <w:t xml:space="preserve"> et constater les changements plus tard. Il peut être difficile de faire la différence entre la démence, la dépression et le délire</w:t>
      </w:r>
      <w:r w:rsidR="003640B4" w:rsidRPr="008953EF">
        <w:rPr>
          <w:rFonts w:ascii="Lato" w:hAnsi="Lato"/>
          <w:sz w:val="16"/>
          <w:szCs w:val="16"/>
        </w:rPr>
        <w:t xml:space="preserve">. </w:t>
      </w:r>
    </w:p>
    <w:p w14:paraId="2B3D2406" w14:textId="702C3754"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Pour les patients présentant un risque de démence, évaluez l'état psychologique ou référez-les afin d'établir le niveau de base de leur fonctionnement cognitif, adaptatif et de leurs aptitudes de communication</w:t>
      </w:r>
      <w:r w:rsidR="003640B4" w:rsidRPr="008953EF">
        <w:rPr>
          <w:rFonts w:ascii="Lato" w:hAnsi="Lato"/>
          <w:sz w:val="16"/>
          <w:szCs w:val="16"/>
        </w:rPr>
        <w:t xml:space="preserve">. </w:t>
      </w:r>
    </w:p>
    <w:p w14:paraId="639BD42B" w14:textId="1B2049E6"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Éduquez la famille et les autres personnes aidantes au sujet des signes précoces de la démence</w:t>
      </w:r>
      <w:r w:rsidR="003640B4" w:rsidRPr="008953EF">
        <w:rPr>
          <w:rFonts w:ascii="Lato" w:hAnsi="Lato"/>
          <w:sz w:val="16"/>
          <w:szCs w:val="16"/>
        </w:rPr>
        <w:t xml:space="preserve">. </w:t>
      </w:r>
    </w:p>
    <w:p w14:paraId="6C27553A" w14:textId="3915363B"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Lorsque des signes sont présents, recherchez les causes potentiellement réversibles de la démence, y compris les infections, les troubles de la thyroïde, les maladies cardiovasculaires, les problèmes visuels ou d’audition, les carences nutritionnelles ou les effets des médicaments</w:t>
      </w:r>
      <w:r w:rsidR="003640B4" w:rsidRPr="008953EF">
        <w:rPr>
          <w:rFonts w:ascii="Lato" w:hAnsi="Lato"/>
          <w:sz w:val="16"/>
          <w:szCs w:val="16"/>
        </w:rPr>
        <w:t xml:space="preserve">. </w:t>
      </w:r>
    </w:p>
    <w:p w14:paraId="3BFD8995" w14:textId="4DACB709" w:rsidR="003640B4" w:rsidRPr="008953EF" w:rsidRDefault="0000208B" w:rsidP="00A05F23">
      <w:pPr>
        <w:pStyle w:val="Endnote-Context"/>
        <w:rPr>
          <w:rFonts w:ascii="Lato" w:hAnsi="Lato"/>
          <w:sz w:val="16"/>
          <w:szCs w:val="16"/>
        </w:rPr>
      </w:pPr>
      <w:r w:rsidRPr="008953EF">
        <w:rPr>
          <w:rFonts w:ascii="Lato" w:hAnsi="Lato" w:cstheme="minorHAnsi"/>
          <w:color w:val="000000"/>
          <w:sz w:val="16"/>
          <w:szCs w:val="16"/>
          <w:lang w:val="fr-CA"/>
        </w:rPr>
        <w:t xml:space="preserve">Pensez à aiguiller le patient vers un spécialiste approprié (p. ex. psychiatre, neurologiste) si vous n’êtes pas certain que les symptômes </w:t>
      </w:r>
      <w:proofErr w:type="gramStart"/>
      <w:r w:rsidRPr="008953EF">
        <w:rPr>
          <w:rFonts w:ascii="Lato" w:hAnsi="Lato" w:cstheme="minorHAnsi"/>
          <w:color w:val="000000"/>
          <w:sz w:val="16"/>
          <w:szCs w:val="16"/>
          <w:lang w:val="fr-CA"/>
        </w:rPr>
        <w:t>sont</w:t>
      </w:r>
      <w:proofErr w:type="gramEnd"/>
      <w:r w:rsidRPr="008953EF">
        <w:rPr>
          <w:rFonts w:ascii="Lato" w:hAnsi="Lato" w:cstheme="minorHAnsi"/>
          <w:color w:val="000000"/>
          <w:sz w:val="16"/>
          <w:szCs w:val="16"/>
          <w:lang w:val="fr-CA"/>
        </w:rPr>
        <w:t xml:space="preserve"> causés par des troubles émotionnels, des troubles psychiatriques ou de la démence</w:t>
      </w:r>
      <w:r w:rsidR="003640B4" w:rsidRPr="008953EF">
        <w:rPr>
          <w:rFonts w:ascii="Lato" w:hAnsi="Lato"/>
          <w:sz w:val="16"/>
          <w:szCs w:val="16"/>
        </w:rPr>
        <w:t>.</w:t>
      </w:r>
    </w:p>
    <w:p w14:paraId="2D3EF864" w14:textId="61E34522" w:rsidR="003640B4" w:rsidRPr="008953EF" w:rsidRDefault="0000208B"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r w:rsidR="003640B4" w:rsidRPr="008953EF">
        <w:rPr>
          <w:rFonts w:ascii="Lato" w:hAnsi="Lato"/>
          <w:sz w:val="16"/>
          <w:szCs w:val="16"/>
        </w:rPr>
        <w:t xml:space="preserve"> </w:t>
      </w:r>
    </w:p>
    <w:p w14:paraId="08664E09" w14:textId="715D585D" w:rsidR="003640B4" w:rsidRPr="008953EF" w:rsidRDefault="00000000" w:rsidP="00905C5E">
      <w:pPr>
        <w:pStyle w:val="Endnote-Link"/>
        <w:rPr>
          <w:rFonts w:ascii="Lato" w:hAnsi="Lato"/>
          <w:sz w:val="16"/>
          <w:szCs w:val="16"/>
        </w:rPr>
      </w:pPr>
      <w:hyperlink r:id="rId34" w:history="1">
        <w:r w:rsidR="003640B4" w:rsidRPr="008953EF">
          <w:rPr>
            <w:rStyle w:val="Hyperlink"/>
            <w:rFonts w:ascii="Lato" w:hAnsi="Lato"/>
            <w:sz w:val="16"/>
            <w:szCs w:val="16"/>
          </w:rPr>
          <w:t>NTG Early Detection Screen for Dementia</w:t>
        </w:r>
      </w:hyperlink>
      <w:r w:rsidR="003640B4" w:rsidRPr="008953EF">
        <w:rPr>
          <w:rFonts w:ascii="Lato" w:hAnsi="Lato"/>
          <w:sz w:val="16"/>
          <w:szCs w:val="16"/>
        </w:rPr>
        <w:t xml:space="preserve">, </w:t>
      </w:r>
      <w:r w:rsidR="0000208B" w:rsidRPr="008953EF">
        <w:rPr>
          <w:rFonts w:ascii="Lato" w:hAnsi="Lato" w:cstheme="minorHAnsi"/>
          <w:color w:val="000000"/>
          <w:sz w:val="16"/>
          <w:szCs w:val="16"/>
          <w:lang w:val="fr-CA"/>
        </w:rPr>
        <w:t xml:space="preserve">produit par le National </w:t>
      </w:r>
      <w:proofErr w:type="spellStart"/>
      <w:r w:rsidR="0000208B" w:rsidRPr="008953EF">
        <w:rPr>
          <w:rFonts w:ascii="Lato" w:hAnsi="Lato" w:cstheme="minorHAnsi"/>
          <w:color w:val="000000"/>
          <w:sz w:val="16"/>
          <w:szCs w:val="16"/>
          <w:lang w:val="fr-CA"/>
        </w:rPr>
        <w:t>Task</w:t>
      </w:r>
      <w:proofErr w:type="spellEnd"/>
      <w:r w:rsidR="0000208B" w:rsidRPr="008953EF">
        <w:rPr>
          <w:rFonts w:ascii="Lato" w:hAnsi="Lato" w:cstheme="minorHAnsi"/>
          <w:color w:val="000000"/>
          <w:sz w:val="16"/>
          <w:szCs w:val="16"/>
          <w:lang w:val="fr-CA"/>
        </w:rPr>
        <w:t xml:space="preserve"> Group on </w:t>
      </w:r>
      <w:proofErr w:type="spellStart"/>
      <w:r w:rsidR="0000208B" w:rsidRPr="008953EF">
        <w:rPr>
          <w:rFonts w:ascii="Lato" w:hAnsi="Lato" w:cstheme="minorHAnsi"/>
          <w:color w:val="000000"/>
          <w:sz w:val="16"/>
          <w:szCs w:val="16"/>
          <w:lang w:val="fr-CA"/>
        </w:rPr>
        <w:t>Intellectual</w:t>
      </w:r>
      <w:proofErr w:type="spellEnd"/>
      <w:r w:rsidR="0000208B" w:rsidRPr="008953EF">
        <w:rPr>
          <w:rFonts w:ascii="Lato" w:hAnsi="Lato" w:cstheme="minorHAnsi"/>
          <w:color w:val="000000"/>
          <w:sz w:val="16"/>
          <w:szCs w:val="16"/>
          <w:lang w:val="fr-CA"/>
        </w:rPr>
        <w:t xml:space="preserve"> </w:t>
      </w:r>
      <w:proofErr w:type="spellStart"/>
      <w:r w:rsidR="0000208B" w:rsidRPr="008953EF">
        <w:rPr>
          <w:rFonts w:ascii="Lato" w:hAnsi="Lato" w:cstheme="minorHAnsi"/>
          <w:color w:val="000000"/>
          <w:sz w:val="16"/>
          <w:szCs w:val="16"/>
          <w:lang w:val="fr-CA"/>
        </w:rPr>
        <w:t>Disabilities</w:t>
      </w:r>
      <w:proofErr w:type="spellEnd"/>
      <w:r w:rsidR="0000208B" w:rsidRPr="008953EF">
        <w:rPr>
          <w:rFonts w:ascii="Lato" w:hAnsi="Lato" w:cstheme="minorHAnsi"/>
          <w:color w:val="000000"/>
          <w:sz w:val="16"/>
          <w:szCs w:val="16"/>
          <w:lang w:val="fr-CA"/>
        </w:rPr>
        <w:t xml:space="preserve"> and </w:t>
      </w:r>
      <w:proofErr w:type="spellStart"/>
      <w:r w:rsidR="0000208B" w:rsidRPr="008953EF">
        <w:rPr>
          <w:rFonts w:ascii="Lato" w:hAnsi="Lato" w:cstheme="minorHAnsi"/>
          <w:color w:val="000000"/>
          <w:sz w:val="16"/>
          <w:szCs w:val="16"/>
          <w:lang w:val="fr-CA"/>
        </w:rPr>
        <w:t>Dementia</w:t>
      </w:r>
      <w:proofErr w:type="spellEnd"/>
      <w:r w:rsidR="0000208B" w:rsidRPr="008953EF">
        <w:rPr>
          <w:rFonts w:ascii="Lato" w:hAnsi="Lato" w:cstheme="minorHAnsi"/>
          <w:color w:val="000000"/>
          <w:sz w:val="16"/>
          <w:szCs w:val="16"/>
          <w:lang w:val="fr-CA"/>
        </w:rPr>
        <w:t xml:space="preserve"> Practices</w:t>
      </w:r>
      <w:r w:rsidR="0000208B" w:rsidRPr="008953EF">
        <w:rPr>
          <w:rFonts w:ascii="Lato" w:hAnsi="Lato"/>
          <w:sz w:val="16"/>
          <w:szCs w:val="16"/>
          <w:lang w:val="fr-CA"/>
        </w:rPr>
        <w:t xml:space="preserve"> </w:t>
      </w:r>
      <w:r w:rsidR="0000208B" w:rsidRPr="008953EF">
        <w:rPr>
          <w:rFonts w:ascii="Lato" w:hAnsi="Lato" w:cstheme="minorHAnsi"/>
          <w:color w:val="000000"/>
          <w:sz w:val="16"/>
          <w:szCs w:val="16"/>
          <w:lang w:val="fr-CA"/>
        </w:rPr>
        <w:t>(Groupe de travail national sur les pratiques en matière de déficience intellectuelle et de démence), Académie américaine de médecine et de dentisterie pour personnes ayant des DID</w:t>
      </w:r>
    </w:p>
  </w:endnote>
  <w:endnote w:id="30">
    <w:p w14:paraId="56DB2C39" w14:textId="119B62FC" w:rsidR="003640B4" w:rsidRDefault="003640B4" w:rsidP="0069631F">
      <w:pPr>
        <w:pStyle w:val="Endnote-H4"/>
        <w:spacing w:after="0"/>
      </w:pPr>
      <w:r>
        <w:rPr>
          <w:rStyle w:val="EndnoteReference"/>
        </w:rPr>
        <w:endnoteRef/>
      </w:r>
      <w:r>
        <w:t xml:space="preserve"> </w:t>
      </w:r>
      <w:r w:rsidR="0000208B">
        <w:rPr>
          <w:rFonts w:cstheme="minorHAnsi"/>
          <w:color w:val="000000"/>
        </w:rPr>
        <w:t>Transitions de vie</w:t>
      </w:r>
    </w:p>
    <w:p w14:paraId="313C5ED3" w14:textId="587582C1" w:rsidR="003640B4" w:rsidRPr="008953EF" w:rsidRDefault="0000208B" w:rsidP="0069631F">
      <w:pPr>
        <w:pStyle w:val="Endnote-Bullet-L1"/>
        <w:spacing w:after="0"/>
        <w:rPr>
          <w:rFonts w:ascii="Lato" w:hAnsi="Lato"/>
          <w:sz w:val="16"/>
          <w:szCs w:val="16"/>
        </w:rPr>
      </w:pPr>
      <w:r w:rsidRPr="008953EF">
        <w:rPr>
          <w:rFonts w:ascii="Lato" w:hAnsi="Lato"/>
          <w:sz w:val="16"/>
          <w:szCs w:val="16"/>
          <w:lang w:val="fr-CA"/>
        </w:rPr>
        <w:t>Parlez de façon proactive des effets des transitions à venir avec les patients, leurs personnes aidantes et les autres membres de l’équipe de santé</w:t>
      </w:r>
      <w:r w:rsidR="003640B4" w:rsidRPr="008953EF">
        <w:rPr>
          <w:rFonts w:ascii="Lato" w:hAnsi="Lato"/>
          <w:sz w:val="16"/>
          <w:szCs w:val="16"/>
        </w:rPr>
        <w:t>.</w:t>
      </w:r>
    </w:p>
    <w:p w14:paraId="740E8F81" w14:textId="5CB26DAC" w:rsidR="003640B4" w:rsidRPr="008953EF" w:rsidRDefault="0000208B" w:rsidP="0069631F">
      <w:pPr>
        <w:pStyle w:val="Endnote-Link"/>
        <w:spacing w:after="0"/>
        <w:rPr>
          <w:rFonts w:ascii="Lato" w:hAnsi="Lato"/>
          <w:sz w:val="16"/>
          <w:szCs w:val="16"/>
        </w:rPr>
      </w:pPr>
      <w:r w:rsidRPr="008953EF">
        <w:rPr>
          <w:rFonts w:ascii="Lato" w:hAnsi="Lato" w:cstheme="minorHAnsi"/>
          <w:color w:val="000000"/>
          <w:sz w:val="16"/>
          <w:szCs w:val="16"/>
          <w:lang w:val="fr-CA"/>
        </w:rPr>
        <w:t>Les transitions de la vie comme l'adolescence, le passage à l'âge adulte, la fragilité (qui peut se manifester prématurément) et la fin de vie sont des périodes de changement parmi les plus difficiles pour les personnes ayant des DID et leurs aidants. Ces périodes nécessitent un soutien différent ou accru</w:t>
      </w:r>
      <w:r w:rsidR="003640B4" w:rsidRPr="008953EF">
        <w:rPr>
          <w:rFonts w:ascii="Lato" w:hAnsi="Lato"/>
          <w:sz w:val="16"/>
          <w:szCs w:val="16"/>
        </w:rPr>
        <w:t xml:space="preserve">. </w:t>
      </w:r>
    </w:p>
    <w:p w14:paraId="38D3388D" w14:textId="61C6B29D" w:rsidR="000020BE" w:rsidRPr="008953EF" w:rsidRDefault="0000208B"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r w:rsidR="000020BE" w:rsidRPr="008953EF">
        <w:rPr>
          <w:rFonts w:ascii="Lato" w:hAnsi="Lato"/>
          <w:sz w:val="16"/>
          <w:szCs w:val="16"/>
        </w:rPr>
        <w:t xml:space="preserve"> </w:t>
      </w:r>
    </w:p>
    <w:p w14:paraId="4FAFD76B" w14:textId="4DA97ECE" w:rsidR="003640B4" w:rsidRPr="008953EF" w:rsidRDefault="00000000" w:rsidP="000020BE">
      <w:pPr>
        <w:pStyle w:val="Endnote-Link"/>
        <w:rPr>
          <w:rFonts w:ascii="Lato" w:hAnsi="Lato"/>
          <w:sz w:val="16"/>
          <w:szCs w:val="16"/>
        </w:rPr>
      </w:pPr>
      <w:hyperlink r:id="rId35" w:history="1">
        <w:r w:rsidR="0000208B" w:rsidRPr="008953EF">
          <w:rPr>
            <w:rStyle w:val="Hyperlink"/>
            <w:rFonts w:ascii="Lato" w:hAnsi="Lato"/>
            <w:sz w:val="16"/>
            <w:szCs w:val="16"/>
            <w:lang w:val="fr-CA"/>
          </w:rPr>
          <w:t>Transitions en matière de soins de santé</w:t>
        </w:r>
        <w:r w:rsidR="0000208B" w:rsidRPr="008953EF">
          <w:rPr>
            <w:rStyle w:val="Hyperlink"/>
            <w:rFonts w:ascii="Lato" w:hAnsi="Lato"/>
            <w:sz w:val="16"/>
            <w:szCs w:val="16"/>
            <w:lang w:val="en-US"/>
          </w:rPr>
          <w:t xml:space="preserve"> </w:t>
        </w:r>
      </w:hyperlink>
    </w:p>
  </w:endnote>
  <w:endnote w:id="31">
    <w:p w14:paraId="09DA8258" w14:textId="4CD23C2C" w:rsidR="003640B4" w:rsidRDefault="003640B4" w:rsidP="0069631F">
      <w:pPr>
        <w:pStyle w:val="Endnote-H4"/>
        <w:spacing w:after="0"/>
      </w:pPr>
      <w:r>
        <w:rPr>
          <w:rStyle w:val="EndnoteReference"/>
        </w:rPr>
        <w:endnoteRef/>
      </w:r>
      <w:r>
        <w:t xml:space="preserve"> </w:t>
      </w:r>
      <w:proofErr w:type="spellStart"/>
      <w:r w:rsidR="0000208B" w:rsidRPr="0000208B">
        <w:t>Maltraitance</w:t>
      </w:r>
      <w:proofErr w:type="spellEnd"/>
      <w:r w:rsidR="0000208B" w:rsidRPr="0000208B">
        <w:t xml:space="preserve">, exploitation, </w:t>
      </w:r>
      <w:proofErr w:type="spellStart"/>
      <w:r w:rsidR="0000208B" w:rsidRPr="0000208B">
        <w:t>négligence</w:t>
      </w:r>
      <w:proofErr w:type="spellEnd"/>
    </w:p>
    <w:p w14:paraId="1EC72816" w14:textId="13969B99" w:rsidR="003640B4" w:rsidRPr="008953EF" w:rsidRDefault="0000208B" w:rsidP="00732486">
      <w:pPr>
        <w:pStyle w:val="Endnote-Bullet-L1"/>
        <w:spacing w:after="0"/>
        <w:rPr>
          <w:rFonts w:ascii="Lato" w:hAnsi="Lato"/>
          <w:sz w:val="16"/>
          <w:szCs w:val="16"/>
        </w:rPr>
      </w:pPr>
      <w:r w:rsidRPr="008953EF">
        <w:rPr>
          <w:rFonts w:ascii="Lato" w:hAnsi="Lato" w:cstheme="minorHAnsi"/>
          <w:color w:val="000000"/>
          <w:sz w:val="16"/>
          <w:szCs w:val="16"/>
          <w:lang w:val="fr-CA"/>
        </w:rPr>
        <w:t>Évaluez les facteurs de risque de la maltraitance (p. ex., la vie en résidence) ainsi que les indicateurs possibles</w:t>
      </w:r>
      <w:r w:rsidR="003640B4" w:rsidRPr="008953EF">
        <w:rPr>
          <w:rFonts w:ascii="Lato" w:hAnsi="Lato"/>
          <w:sz w:val="16"/>
          <w:szCs w:val="16"/>
        </w:rPr>
        <w:t xml:space="preserve">. </w:t>
      </w:r>
      <w:r w:rsidRPr="008953EF">
        <w:rPr>
          <w:rFonts w:ascii="Lato" w:hAnsi="Lato" w:cstheme="minorHAnsi"/>
          <w:color w:val="000000"/>
          <w:sz w:val="16"/>
          <w:szCs w:val="16"/>
          <w:lang w:val="fr-CA"/>
        </w:rPr>
        <w:t>Utilisez les exemples de question suivants</w:t>
      </w:r>
      <w:r w:rsidR="003640B4" w:rsidRPr="008953EF">
        <w:rPr>
          <w:rFonts w:ascii="Lato" w:hAnsi="Lato"/>
          <w:sz w:val="16"/>
          <w:szCs w:val="16"/>
        </w:rPr>
        <w:t xml:space="preserve">: </w:t>
      </w:r>
    </w:p>
    <w:p w14:paraId="59599DB8" w14:textId="68D7E01E" w:rsidR="003640B4" w:rsidRPr="008953EF" w:rsidRDefault="0000208B" w:rsidP="00732486">
      <w:pPr>
        <w:pStyle w:val="Endnote-Bullet-L2"/>
        <w:spacing w:after="0"/>
        <w:rPr>
          <w:rFonts w:ascii="Lato" w:hAnsi="Lato"/>
          <w:sz w:val="16"/>
          <w:szCs w:val="16"/>
        </w:rPr>
      </w:pPr>
      <w:r w:rsidRPr="008953EF">
        <w:rPr>
          <w:rFonts w:ascii="Lato" w:hAnsi="Lato" w:cstheme="minorHAnsi"/>
          <w:color w:val="000000"/>
          <w:sz w:val="16"/>
          <w:szCs w:val="16"/>
          <w:lang w:val="fr-CA"/>
        </w:rPr>
        <w:t>Quelqu'un t’a-t-il déjà fait mal</w:t>
      </w:r>
      <w:r w:rsidR="003640B4" w:rsidRPr="008953EF">
        <w:rPr>
          <w:rFonts w:ascii="Lato" w:hAnsi="Lato"/>
          <w:sz w:val="16"/>
          <w:szCs w:val="16"/>
        </w:rPr>
        <w:t xml:space="preserve">? </w:t>
      </w:r>
    </w:p>
    <w:p w14:paraId="5E0491DB" w14:textId="24B563E8" w:rsidR="003640B4" w:rsidRPr="008953EF" w:rsidRDefault="005F247C" w:rsidP="00732486">
      <w:pPr>
        <w:pStyle w:val="Endnote-Bullet-L2"/>
        <w:spacing w:after="0"/>
        <w:rPr>
          <w:rFonts w:ascii="Lato" w:hAnsi="Lato"/>
          <w:sz w:val="16"/>
          <w:szCs w:val="16"/>
        </w:rPr>
      </w:pPr>
      <w:r w:rsidRPr="008953EF">
        <w:rPr>
          <w:rFonts w:ascii="Lato" w:hAnsi="Lato" w:cstheme="minorHAnsi"/>
          <w:color w:val="000000"/>
          <w:sz w:val="16"/>
          <w:szCs w:val="16"/>
          <w:lang w:val="fr-CA"/>
        </w:rPr>
        <w:t>Quelqu'un a-t-il déjà touché tes seins, ton vagin ou ton pénis sans ta permission</w:t>
      </w:r>
      <w:r w:rsidR="003640B4" w:rsidRPr="008953EF">
        <w:rPr>
          <w:rFonts w:ascii="Lato" w:hAnsi="Lato"/>
          <w:sz w:val="16"/>
          <w:szCs w:val="16"/>
        </w:rPr>
        <w:t xml:space="preserve">? </w:t>
      </w:r>
    </w:p>
    <w:p w14:paraId="705C5B9E" w14:textId="211FA58B" w:rsidR="003640B4" w:rsidRPr="008953EF" w:rsidRDefault="005F247C" w:rsidP="003D71C4">
      <w:pPr>
        <w:pStyle w:val="Endnote-Bullet-L2"/>
        <w:rPr>
          <w:rFonts w:ascii="Lato" w:hAnsi="Lato"/>
          <w:sz w:val="16"/>
          <w:szCs w:val="16"/>
        </w:rPr>
      </w:pPr>
      <w:r w:rsidRPr="008953EF">
        <w:rPr>
          <w:rFonts w:ascii="Lato" w:hAnsi="Lato"/>
          <w:sz w:val="16"/>
          <w:szCs w:val="16"/>
          <w:lang w:val="fr-CA"/>
        </w:rPr>
        <w:t>Est-ce qu'on t'a déjà demandé, forcé ou guidé pour toucher le sein, le vagin ou le pénis de quelqu'un d'autre, ou est-ce qu'on t'a forcé à faire quelque chose que tu n'étais pas à l'aise de faire</w:t>
      </w:r>
      <w:r w:rsidR="003640B4" w:rsidRPr="008953EF">
        <w:rPr>
          <w:rFonts w:ascii="Lato" w:hAnsi="Lato"/>
          <w:sz w:val="16"/>
          <w:szCs w:val="16"/>
        </w:rPr>
        <w:t>?</w:t>
      </w:r>
    </w:p>
    <w:p w14:paraId="5E541ABA" w14:textId="25FAF0A4" w:rsidR="003640B4" w:rsidRPr="008953EF" w:rsidRDefault="005F247C" w:rsidP="005F247C">
      <w:pPr>
        <w:pStyle w:val="Endnote-Context"/>
        <w:rPr>
          <w:rFonts w:ascii="Lato" w:hAnsi="Lato"/>
          <w:sz w:val="16"/>
          <w:szCs w:val="16"/>
          <w:lang w:val="fr-CA"/>
        </w:rPr>
      </w:pPr>
      <w:r w:rsidRPr="008953EF">
        <w:rPr>
          <w:rFonts w:ascii="Lato" w:hAnsi="Lato" w:cstheme="minorHAnsi"/>
          <w:color w:val="000000"/>
          <w:sz w:val="16"/>
          <w:szCs w:val="16"/>
          <w:lang w:val="fr-CA"/>
        </w:rPr>
        <w:t xml:space="preserve">La maltraitance peut se manifester par des changements inexpliqués de la santé physique (p. ex. la malnutrition), de la santé mentale (p. ex., </w:t>
      </w:r>
      <w:r w:rsidRPr="008953EF">
        <w:rPr>
          <w:rFonts w:ascii="Lato" w:hAnsi="Lato"/>
          <w:sz w:val="16"/>
          <w:szCs w:val="16"/>
          <w:lang w:val="fr-CA"/>
        </w:rPr>
        <w:t xml:space="preserve">l’anxiété, la dépression) ainsi que par des changements de comportement (p. ex., le retrait, des comportements perturbateurs, des attachements inappropriés, des comportements sexualisés). La négligence peut se manifester comme un schéma récurrent de soins inadéquats (p. ex., rendez-vous manqués et </w:t>
      </w:r>
      <w:r w:rsidRPr="008953EF">
        <w:rPr>
          <w:rFonts w:ascii="Lato" w:hAnsi="Lato"/>
          <w:sz w:val="16"/>
          <w:szCs w:val="16"/>
        </w:rPr>
        <w:t>non-</w:t>
      </w:r>
      <w:proofErr w:type="spellStart"/>
      <w:r w:rsidRPr="008953EF">
        <w:rPr>
          <w:rFonts w:ascii="Lato" w:hAnsi="Lato"/>
          <w:sz w:val="16"/>
          <w:szCs w:val="16"/>
        </w:rPr>
        <w:t>adhésion</w:t>
      </w:r>
      <w:proofErr w:type="spellEnd"/>
      <w:r w:rsidR="003640B4" w:rsidRPr="008953EF">
        <w:rPr>
          <w:rFonts w:ascii="Lato" w:hAnsi="Lato"/>
          <w:sz w:val="16"/>
          <w:szCs w:val="16"/>
        </w:rPr>
        <w:t xml:space="preserve">). </w:t>
      </w:r>
    </w:p>
  </w:endnote>
  <w:endnote w:id="32">
    <w:p w14:paraId="14C5A838" w14:textId="6537FB5E" w:rsidR="003640B4" w:rsidRDefault="003640B4" w:rsidP="0069631F">
      <w:pPr>
        <w:pStyle w:val="Endnote-H4"/>
        <w:spacing w:after="0"/>
      </w:pPr>
      <w:r>
        <w:rPr>
          <w:rStyle w:val="EndnoteReference"/>
        </w:rPr>
        <w:endnoteRef/>
      </w:r>
      <w:r>
        <w:t xml:space="preserve"> </w:t>
      </w:r>
      <w:r w:rsidR="005F247C">
        <w:rPr>
          <w:rFonts w:cstheme="minorHAnsi"/>
          <w:color w:val="000000"/>
        </w:rPr>
        <w:t>Stress des aidants</w:t>
      </w:r>
    </w:p>
    <w:p w14:paraId="7DD3365F" w14:textId="05013A69" w:rsidR="003640B4" w:rsidRPr="008953EF" w:rsidRDefault="005F247C" w:rsidP="0069631F">
      <w:pPr>
        <w:pStyle w:val="Endnote-Bullet-L1"/>
        <w:spacing w:after="0"/>
        <w:rPr>
          <w:rFonts w:ascii="Lato" w:hAnsi="Lato"/>
          <w:sz w:val="16"/>
          <w:szCs w:val="16"/>
        </w:rPr>
      </w:pPr>
      <w:proofErr w:type="spellStart"/>
      <w:r w:rsidRPr="008953EF">
        <w:rPr>
          <w:rFonts w:ascii="Lato" w:hAnsi="Lato"/>
          <w:sz w:val="16"/>
          <w:szCs w:val="16"/>
        </w:rPr>
        <w:t>Répondre</w:t>
      </w:r>
      <w:proofErr w:type="spellEnd"/>
      <w:r w:rsidRPr="008953EF">
        <w:rPr>
          <w:rFonts w:ascii="Lato" w:hAnsi="Lato"/>
          <w:sz w:val="16"/>
          <w:szCs w:val="16"/>
        </w:rPr>
        <w:t xml:space="preserve"> aux </w:t>
      </w:r>
      <w:proofErr w:type="spellStart"/>
      <w:r w:rsidRPr="008953EF">
        <w:rPr>
          <w:rFonts w:ascii="Lato" w:hAnsi="Lato"/>
          <w:sz w:val="16"/>
          <w:szCs w:val="16"/>
        </w:rPr>
        <w:t>besoins</w:t>
      </w:r>
      <w:proofErr w:type="spellEnd"/>
      <w:r w:rsidRPr="008953EF">
        <w:rPr>
          <w:rFonts w:ascii="Lato" w:hAnsi="Lato"/>
          <w:sz w:val="16"/>
          <w:szCs w:val="16"/>
        </w:rPr>
        <w:t xml:space="preserve"> des aidants</w:t>
      </w:r>
    </w:p>
    <w:p w14:paraId="2AD9C609" w14:textId="4A7E22FF" w:rsidR="003640B4" w:rsidRPr="008953EF" w:rsidRDefault="005F247C" w:rsidP="00222FF7">
      <w:pPr>
        <w:pStyle w:val="Endnote-Context"/>
        <w:rPr>
          <w:rFonts w:ascii="Lato" w:hAnsi="Lato"/>
          <w:sz w:val="16"/>
          <w:szCs w:val="16"/>
        </w:rPr>
      </w:pPr>
      <w:r w:rsidRPr="008953EF">
        <w:rPr>
          <w:rFonts w:ascii="Lato" w:hAnsi="Lato" w:cstheme="minorHAnsi"/>
          <w:color w:val="000000"/>
          <w:sz w:val="16"/>
          <w:szCs w:val="16"/>
          <w:lang w:val="fr-CA"/>
        </w:rPr>
        <w:t>Les familles et autres personnes aidantes font souvent face à des stress mentaux, physiques ou économiques importants en tentant d'équilibrer les besoins de soutien de la personne ayant des DID avec d'autres responsabilités. Les perturbations de sommeil sont également une source de stress. La sécurité des aidants à domicile peut poser problème, en particulier en cas de comportements difficiles</w:t>
      </w:r>
      <w:r w:rsidR="003640B4" w:rsidRPr="008953EF">
        <w:rPr>
          <w:rFonts w:ascii="Lato" w:hAnsi="Lato"/>
          <w:sz w:val="16"/>
          <w:szCs w:val="16"/>
        </w:rPr>
        <w:t>.</w:t>
      </w:r>
    </w:p>
    <w:p w14:paraId="7F8F13EB" w14:textId="2DB7C91A" w:rsidR="003640B4" w:rsidRPr="008953EF" w:rsidRDefault="005F247C" w:rsidP="00222FF7">
      <w:pPr>
        <w:pStyle w:val="Endnote-Context"/>
        <w:rPr>
          <w:rFonts w:ascii="Lato" w:hAnsi="Lato"/>
          <w:sz w:val="16"/>
          <w:szCs w:val="16"/>
        </w:rPr>
      </w:pPr>
      <w:r w:rsidRPr="008953EF">
        <w:rPr>
          <w:rFonts w:ascii="Lato" w:hAnsi="Lato" w:cstheme="minorHAnsi"/>
          <w:color w:val="000000"/>
          <w:sz w:val="16"/>
          <w:szCs w:val="16"/>
          <w:lang w:val="fr-CA"/>
        </w:rPr>
        <w:t xml:space="preserve">Dépistez régulièrement et répondez de façon proactive aux besoins de soutien des aidants. Recommandez des interventions qui réduisent les comportements présentant un défi chez les personnes ayant des DID (p. ex., le Soutien au comportement positif-SCP) et qui augmentent la capacité de gérer et réduisent le stress ressenti par </w:t>
      </w:r>
      <w:proofErr w:type="gramStart"/>
      <w:r w:rsidRPr="008953EF">
        <w:rPr>
          <w:rFonts w:ascii="Lato" w:hAnsi="Lato" w:cstheme="minorHAnsi"/>
          <w:color w:val="000000"/>
          <w:sz w:val="16"/>
          <w:szCs w:val="16"/>
          <w:lang w:val="fr-CA"/>
        </w:rPr>
        <w:t>les  aidants</w:t>
      </w:r>
      <w:proofErr w:type="gramEnd"/>
      <w:r w:rsidRPr="008953EF">
        <w:rPr>
          <w:rFonts w:ascii="Lato" w:hAnsi="Lato" w:cstheme="minorHAnsi"/>
          <w:color w:val="000000"/>
          <w:sz w:val="16"/>
          <w:szCs w:val="16"/>
          <w:lang w:val="fr-CA"/>
        </w:rPr>
        <w:t xml:space="preserve"> (p. ex., Réduction du stress basée sur la pleine conscience; Thérapie d’acceptation et d’engagement</w:t>
      </w:r>
      <w:r w:rsidR="003640B4" w:rsidRPr="008953EF">
        <w:rPr>
          <w:rFonts w:ascii="Lato" w:hAnsi="Lato"/>
          <w:sz w:val="16"/>
          <w:szCs w:val="16"/>
        </w:rPr>
        <w:t xml:space="preserve">). </w:t>
      </w:r>
    </w:p>
    <w:p w14:paraId="2EFC179B" w14:textId="138ECE19" w:rsidR="003640B4" w:rsidRPr="008953EF" w:rsidRDefault="005F247C" w:rsidP="00222FF7">
      <w:pPr>
        <w:pStyle w:val="Endnote-Context"/>
        <w:rPr>
          <w:rFonts w:ascii="Lato" w:hAnsi="Lato"/>
          <w:sz w:val="16"/>
          <w:szCs w:val="16"/>
        </w:rPr>
      </w:pPr>
      <w:r w:rsidRPr="008953EF">
        <w:rPr>
          <w:rFonts w:ascii="Lato" w:hAnsi="Lato" w:cstheme="minorHAnsi"/>
          <w:color w:val="000000"/>
          <w:sz w:val="16"/>
          <w:szCs w:val="16"/>
          <w:lang w:val="fr-CA"/>
        </w:rPr>
        <w:t>Lorsque des inquiétudes surviennent au sujet d’un changement ou d’une augmentation des besoins, ou d’un événement négatif pouvant</w:t>
      </w:r>
      <w:r w:rsidR="003640B4" w:rsidRPr="008953EF">
        <w:rPr>
          <w:rFonts w:ascii="Lato" w:hAnsi="Lato"/>
          <w:sz w:val="16"/>
          <w:szCs w:val="16"/>
        </w:rPr>
        <w:t xml:space="preserve">) </w:t>
      </w:r>
      <w:r w:rsidRPr="008953EF">
        <w:rPr>
          <w:rFonts w:ascii="Lato" w:hAnsi="Lato" w:cstheme="minorHAnsi"/>
          <w:color w:val="000000"/>
          <w:sz w:val="16"/>
          <w:szCs w:val="16"/>
          <w:lang w:val="fr-CA"/>
        </w:rPr>
        <w:t xml:space="preserve">mener à une crise familiale imminente, évaluez et surveillez le stress de la famille ou de la personne aidante (p. ex., l’aide de la Brief Family </w:t>
      </w:r>
      <w:proofErr w:type="spellStart"/>
      <w:r w:rsidRPr="008953EF">
        <w:rPr>
          <w:rFonts w:ascii="Lato" w:hAnsi="Lato" w:cstheme="minorHAnsi"/>
          <w:color w:val="000000"/>
          <w:sz w:val="16"/>
          <w:szCs w:val="16"/>
          <w:lang w:val="fr-CA"/>
        </w:rPr>
        <w:t>Distress</w:t>
      </w:r>
      <w:proofErr w:type="spellEnd"/>
      <w:r w:rsidRPr="008953EF">
        <w:rPr>
          <w:rFonts w:ascii="Lato" w:hAnsi="Lato" w:cstheme="minorHAnsi"/>
          <w:color w:val="000000"/>
          <w:sz w:val="16"/>
          <w:szCs w:val="16"/>
          <w:lang w:val="fr-CA"/>
        </w:rPr>
        <w:t xml:space="preserve"> </w:t>
      </w:r>
      <w:proofErr w:type="spellStart"/>
      <w:r w:rsidRPr="008953EF">
        <w:rPr>
          <w:rFonts w:ascii="Lato" w:hAnsi="Lato" w:cstheme="minorHAnsi"/>
          <w:color w:val="000000"/>
          <w:sz w:val="16"/>
          <w:szCs w:val="16"/>
          <w:lang w:val="fr-CA"/>
        </w:rPr>
        <w:t>Scale</w:t>
      </w:r>
      <w:proofErr w:type="spellEnd"/>
      <w:r w:rsidRPr="008953EF">
        <w:rPr>
          <w:rFonts w:ascii="Lato" w:hAnsi="Lato" w:cstheme="minorHAnsi"/>
          <w:color w:val="000000"/>
          <w:sz w:val="16"/>
          <w:szCs w:val="16"/>
          <w:lang w:val="fr-CA"/>
        </w:rPr>
        <w:t>) et prônez du répit ou un soutien additionnel</w:t>
      </w:r>
      <w:r w:rsidR="003640B4" w:rsidRPr="008953EF">
        <w:rPr>
          <w:rFonts w:ascii="Lato" w:hAnsi="Lato"/>
          <w:sz w:val="16"/>
          <w:szCs w:val="16"/>
        </w:rPr>
        <w:t>.</w:t>
      </w:r>
    </w:p>
    <w:p w14:paraId="7B795D33" w14:textId="52F7676F" w:rsidR="003640B4" w:rsidRPr="008953EF" w:rsidRDefault="005F247C"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r w:rsidR="003640B4" w:rsidRPr="008953EF">
        <w:rPr>
          <w:rFonts w:ascii="Lato" w:hAnsi="Lato"/>
          <w:sz w:val="16"/>
          <w:szCs w:val="16"/>
        </w:rPr>
        <w:t xml:space="preserve"> </w:t>
      </w:r>
    </w:p>
    <w:p w14:paraId="5E40777A" w14:textId="6E68F28C" w:rsidR="003640B4" w:rsidRPr="008953EF" w:rsidRDefault="00000000" w:rsidP="001C2115">
      <w:pPr>
        <w:pStyle w:val="Endnote-Link"/>
        <w:rPr>
          <w:rFonts w:ascii="Lato" w:hAnsi="Lato"/>
          <w:b/>
          <w:sz w:val="16"/>
          <w:szCs w:val="16"/>
        </w:rPr>
      </w:pPr>
      <w:hyperlink r:id="rId36" w:history="1">
        <w:r w:rsidR="003640B4" w:rsidRPr="008953EF">
          <w:rPr>
            <w:rStyle w:val="Hyperlink"/>
            <w:rFonts w:ascii="Lato" w:hAnsi="Lato"/>
            <w:sz w:val="16"/>
            <w:szCs w:val="16"/>
            <w:lang w:val="en-US"/>
          </w:rPr>
          <w:t>Brief Family Distress Scale</w:t>
        </w:r>
      </w:hyperlink>
      <w:r w:rsidR="008F2E75" w:rsidRPr="008953EF">
        <w:rPr>
          <w:rStyle w:val="Hyperlink"/>
          <w:rFonts w:ascii="Lato" w:hAnsi="Lato"/>
          <w:sz w:val="16"/>
          <w:szCs w:val="16"/>
          <w:lang w:val="en-US"/>
        </w:rPr>
        <w:t xml:space="preserve">, </w:t>
      </w:r>
      <w:r w:rsidR="005F247C" w:rsidRPr="008953EF">
        <w:rPr>
          <w:rFonts w:ascii="Lato" w:hAnsi="Lato"/>
          <w:color w:val="0563C1" w:themeColor="hyperlink"/>
          <w:sz w:val="16"/>
          <w:szCs w:val="16"/>
          <w:u w:val="single"/>
          <w:lang w:val="fr-CA"/>
        </w:rPr>
        <w:t>Échelle brève de détresse familiale- en anglais), accessible dans la Base de données des instruments de mesure pour les sciences sociales, Université Nationale d'Irlande</w:t>
      </w:r>
    </w:p>
  </w:endnote>
  <w:endnote w:id="33">
    <w:p w14:paraId="799B54E3" w14:textId="6F824079" w:rsidR="003640B4" w:rsidRDefault="003640B4" w:rsidP="0069631F">
      <w:pPr>
        <w:pStyle w:val="Endnote-H4"/>
        <w:spacing w:after="0"/>
      </w:pPr>
      <w:r>
        <w:rPr>
          <w:rStyle w:val="EndnoteReference"/>
        </w:rPr>
        <w:endnoteRef/>
      </w:r>
      <w:r>
        <w:t xml:space="preserve"> </w:t>
      </w:r>
      <w:proofErr w:type="spellStart"/>
      <w:r w:rsidR="005F247C">
        <w:rPr>
          <w:rFonts w:cstheme="minorHAnsi"/>
          <w:color w:val="000000"/>
        </w:rPr>
        <w:t>Révision</w:t>
      </w:r>
      <w:proofErr w:type="spellEnd"/>
      <w:r w:rsidR="005F247C">
        <w:rPr>
          <w:rFonts w:cstheme="minorHAnsi"/>
          <w:color w:val="000000"/>
        </w:rPr>
        <w:t xml:space="preserve"> des </w:t>
      </w:r>
      <w:proofErr w:type="spellStart"/>
      <w:r w:rsidR="005F247C">
        <w:rPr>
          <w:rFonts w:cstheme="minorHAnsi"/>
          <w:color w:val="000000"/>
        </w:rPr>
        <w:t>médicaments</w:t>
      </w:r>
      <w:proofErr w:type="spellEnd"/>
    </w:p>
    <w:p w14:paraId="571476FC" w14:textId="3786831E" w:rsidR="003640B4" w:rsidRPr="008953EF" w:rsidRDefault="005F247C" w:rsidP="0069631F">
      <w:pPr>
        <w:pStyle w:val="Endnote-Bullet-L1"/>
        <w:spacing w:after="0"/>
        <w:rPr>
          <w:rFonts w:ascii="Lato" w:hAnsi="Lato"/>
          <w:sz w:val="16"/>
          <w:szCs w:val="16"/>
        </w:rPr>
      </w:pPr>
      <w:r w:rsidRPr="008953EF">
        <w:rPr>
          <w:rFonts w:ascii="Lato" w:hAnsi="Lato"/>
          <w:sz w:val="16"/>
          <w:szCs w:val="16"/>
          <w:lang w:val="fr-CA"/>
        </w:rPr>
        <w:t>Mettre à jour la liste des médicaments dans le DME</w:t>
      </w:r>
      <w:r w:rsidR="003640B4" w:rsidRPr="008953EF">
        <w:rPr>
          <w:rFonts w:ascii="Lato" w:hAnsi="Lato"/>
          <w:sz w:val="16"/>
          <w:szCs w:val="16"/>
        </w:rPr>
        <w:t xml:space="preserve">. </w:t>
      </w:r>
    </w:p>
    <w:p w14:paraId="47257863" w14:textId="0E74745C" w:rsidR="003640B4" w:rsidRPr="008953EF" w:rsidRDefault="005F247C" w:rsidP="0069631F">
      <w:pPr>
        <w:pStyle w:val="Endnote-Bullet-L1"/>
        <w:spacing w:after="0"/>
        <w:rPr>
          <w:rFonts w:ascii="Lato" w:hAnsi="Lato"/>
          <w:sz w:val="16"/>
          <w:szCs w:val="16"/>
        </w:rPr>
      </w:pPr>
      <w:r w:rsidRPr="008953EF">
        <w:rPr>
          <w:rFonts w:ascii="Lato" w:hAnsi="Lato"/>
          <w:sz w:val="16"/>
          <w:szCs w:val="16"/>
          <w:lang w:val="fr-CA"/>
        </w:rPr>
        <w:t xml:space="preserve">Renseignez-vous sur les traitements alternatifs et à base de plantes, les vitamines, les minéraux, les probiotiques, l'huile de CBD, </w:t>
      </w:r>
      <w:proofErr w:type="spellStart"/>
      <w:r w:rsidRPr="008953EF">
        <w:rPr>
          <w:rFonts w:ascii="Lato" w:hAnsi="Lato"/>
          <w:sz w:val="16"/>
          <w:szCs w:val="16"/>
          <w:lang w:val="fr-CA"/>
        </w:rPr>
        <w:t>etc</w:t>
      </w:r>
      <w:proofErr w:type="spellEnd"/>
      <w:r w:rsidR="003640B4" w:rsidRPr="008953EF">
        <w:rPr>
          <w:rFonts w:ascii="Lato" w:hAnsi="Lato"/>
          <w:sz w:val="16"/>
          <w:szCs w:val="16"/>
        </w:rPr>
        <w:t>.</w:t>
      </w:r>
    </w:p>
    <w:p w14:paraId="2136F8FB" w14:textId="063290E8" w:rsidR="003640B4" w:rsidRPr="008953EF" w:rsidRDefault="005F247C" w:rsidP="0069631F">
      <w:pPr>
        <w:pStyle w:val="Endnote-Context"/>
        <w:spacing w:after="0"/>
        <w:rPr>
          <w:rFonts w:ascii="Lato" w:hAnsi="Lato"/>
          <w:sz w:val="16"/>
          <w:szCs w:val="16"/>
        </w:rPr>
      </w:pPr>
      <w:r w:rsidRPr="008953EF">
        <w:rPr>
          <w:rFonts w:ascii="Lato" w:hAnsi="Lato" w:cstheme="minorHAnsi"/>
          <w:color w:val="000000"/>
          <w:sz w:val="16"/>
          <w:szCs w:val="16"/>
          <w:lang w:val="fr-CA"/>
        </w:rPr>
        <w:t>La polypharmacie et l'utilisation de certains médicaments à long terme sont fréquentes chez les personnes ayant des DID</w:t>
      </w:r>
      <w:r w:rsidR="003640B4" w:rsidRPr="008953EF">
        <w:rPr>
          <w:rFonts w:ascii="Lato" w:hAnsi="Lato"/>
          <w:sz w:val="16"/>
          <w:szCs w:val="16"/>
        </w:rPr>
        <w:t xml:space="preserve">. </w:t>
      </w:r>
    </w:p>
    <w:p w14:paraId="54FA746C" w14:textId="017B9B6C" w:rsidR="003640B4" w:rsidRPr="008953EF" w:rsidRDefault="005F247C" w:rsidP="0069631F">
      <w:pPr>
        <w:pStyle w:val="Endnote-Context"/>
        <w:spacing w:after="0"/>
        <w:rPr>
          <w:rFonts w:ascii="Lato" w:hAnsi="Lato"/>
          <w:sz w:val="16"/>
          <w:szCs w:val="16"/>
        </w:rPr>
      </w:pPr>
      <w:r w:rsidRPr="008953EF">
        <w:rPr>
          <w:rFonts w:ascii="Lato" w:hAnsi="Lato" w:cstheme="minorHAnsi"/>
          <w:color w:val="000000"/>
          <w:sz w:val="16"/>
          <w:szCs w:val="16"/>
          <w:lang w:val="fr-CA"/>
        </w:rPr>
        <w:t>Révisez régulièrement-considérez à tous les 3 à 6 mois- la date d’initiation, les indications, la dose, l'efficacité, la surveillance de routine requise, les réactions ou les effets indésirables de tous les médicaments</w:t>
      </w:r>
      <w:r w:rsidR="003640B4" w:rsidRPr="008953EF">
        <w:rPr>
          <w:rFonts w:ascii="Lato" w:hAnsi="Lato"/>
          <w:sz w:val="16"/>
          <w:szCs w:val="16"/>
        </w:rPr>
        <w:t xml:space="preserve">. </w:t>
      </w:r>
    </w:p>
    <w:p w14:paraId="71FB6F66" w14:textId="6006B913" w:rsidR="003640B4" w:rsidRPr="008953EF" w:rsidRDefault="005F247C" w:rsidP="0069631F">
      <w:pPr>
        <w:pStyle w:val="Endnote-Context"/>
        <w:spacing w:after="0"/>
        <w:rPr>
          <w:rFonts w:ascii="Lato" w:hAnsi="Lato"/>
          <w:sz w:val="16"/>
          <w:szCs w:val="16"/>
        </w:rPr>
      </w:pPr>
      <w:r w:rsidRPr="008953EF">
        <w:rPr>
          <w:rFonts w:ascii="Lato" w:hAnsi="Lato" w:cstheme="minorHAnsi"/>
          <w:color w:val="000000"/>
          <w:sz w:val="16"/>
          <w:szCs w:val="16"/>
          <w:lang w:val="fr-CA"/>
        </w:rPr>
        <w:t>Si possible, demandez l'aide d'un pharmacien afin de réviser les médicaments</w:t>
      </w:r>
      <w:r w:rsidR="003640B4" w:rsidRPr="008953EF">
        <w:rPr>
          <w:rFonts w:ascii="Lato" w:hAnsi="Lato"/>
          <w:sz w:val="16"/>
          <w:szCs w:val="16"/>
        </w:rPr>
        <w:t>.</w:t>
      </w:r>
    </w:p>
    <w:p w14:paraId="55ED7EBC" w14:textId="17EE3034" w:rsidR="003640B4" w:rsidRPr="008953EF" w:rsidRDefault="005F247C"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p>
    <w:p w14:paraId="1323D4AE" w14:textId="5C56528B" w:rsidR="003640B4" w:rsidRPr="008953EF" w:rsidRDefault="00000000" w:rsidP="0069631F">
      <w:pPr>
        <w:pStyle w:val="Endnote-Link"/>
        <w:spacing w:after="0"/>
        <w:rPr>
          <w:rFonts w:ascii="Lato" w:hAnsi="Lato"/>
          <w:sz w:val="16"/>
          <w:szCs w:val="16"/>
        </w:rPr>
      </w:pPr>
      <w:hyperlink r:id="rId37" w:history="1">
        <w:r w:rsidR="005F247C" w:rsidRPr="008953EF">
          <w:rPr>
            <w:rStyle w:val="Hyperlink"/>
            <w:rFonts w:ascii="Lato" w:hAnsi="Lato" w:cstheme="minorHAnsi"/>
            <w:sz w:val="16"/>
            <w:szCs w:val="16"/>
            <w:lang w:val="fr-CA"/>
          </w:rPr>
          <w:t xml:space="preserve"> </w:t>
        </w:r>
        <w:r w:rsidR="005F247C" w:rsidRPr="008953EF">
          <w:rPr>
            <w:rStyle w:val="Hyperlink"/>
            <w:rFonts w:ascii="Lato" w:hAnsi="Lato"/>
            <w:sz w:val="16"/>
            <w:szCs w:val="16"/>
            <w:lang w:val="fr-CA"/>
          </w:rPr>
          <w:t>Révision des médicaments psychotropes</w:t>
        </w:r>
      </w:hyperlink>
      <w:r w:rsidR="003640B4" w:rsidRPr="008953EF">
        <w:rPr>
          <w:rFonts w:ascii="Lato" w:hAnsi="Lato"/>
          <w:sz w:val="16"/>
          <w:szCs w:val="16"/>
        </w:rPr>
        <w:t xml:space="preserve"> - </w:t>
      </w:r>
      <w:r w:rsidR="005F247C" w:rsidRPr="008953EF">
        <w:rPr>
          <w:rFonts w:ascii="Lato" w:hAnsi="Lato" w:cstheme="minorHAnsi"/>
          <w:color w:val="000000"/>
          <w:sz w:val="16"/>
          <w:szCs w:val="16"/>
          <w:lang w:val="fr-CA"/>
        </w:rPr>
        <w:t>indications et considérations pour la prescription</w:t>
      </w:r>
    </w:p>
    <w:p w14:paraId="60A2DDA4" w14:textId="6BA3378E" w:rsidR="003640B4" w:rsidRPr="008953EF" w:rsidRDefault="00000000" w:rsidP="0069631F">
      <w:pPr>
        <w:pStyle w:val="Endnote-Link"/>
        <w:spacing w:after="0"/>
        <w:rPr>
          <w:rFonts w:ascii="Lato" w:hAnsi="Lato"/>
          <w:sz w:val="16"/>
          <w:szCs w:val="16"/>
        </w:rPr>
      </w:pPr>
      <w:hyperlink r:id="rId38" w:history="1">
        <w:r w:rsidR="005F247C" w:rsidRPr="008953EF">
          <w:rPr>
            <w:rStyle w:val="Hyperlink"/>
            <w:rFonts w:ascii="Lato" w:hAnsi="Lato" w:cstheme="minorHAnsi"/>
            <w:sz w:val="16"/>
            <w:szCs w:val="16"/>
            <w:lang w:val="fr-CA"/>
          </w:rPr>
          <w:t xml:space="preserve"> </w:t>
        </w:r>
        <w:r w:rsidR="005F247C" w:rsidRPr="008953EF">
          <w:rPr>
            <w:rStyle w:val="Hyperlink"/>
            <w:rFonts w:ascii="Lato" w:hAnsi="Lato"/>
            <w:sz w:val="16"/>
            <w:szCs w:val="16"/>
            <w:lang w:val="fr-CA"/>
          </w:rPr>
          <w:t>Vérification de la thérapie par médicaments psychotropes</w:t>
        </w:r>
      </w:hyperlink>
      <w:r w:rsidR="003640B4" w:rsidRPr="008953EF">
        <w:rPr>
          <w:rFonts w:ascii="Lato" w:hAnsi="Lato"/>
          <w:sz w:val="16"/>
          <w:szCs w:val="16"/>
        </w:rPr>
        <w:t xml:space="preserve"> – </w:t>
      </w:r>
      <w:r w:rsidR="005F247C" w:rsidRPr="008953EF">
        <w:rPr>
          <w:rFonts w:ascii="Lato" w:hAnsi="Lato" w:cstheme="minorHAnsi"/>
          <w:color w:val="000000"/>
          <w:sz w:val="16"/>
          <w:szCs w:val="16"/>
          <w:lang w:val="fr-CA"/>
        </w:rPr>
        <w:t>questions à poser lors de l’examen de l’utilisation courante de médicaments psychotropes</w:t>
      </w:r>
    </w:p>
    <w:p w14:paraId="792FF456" w14:textId="3CADD2BF" w:rsidR="003640B4" w:rsidRDefault="00000000" w:rsidP="001C2115">
      <w:pPr>
        <w:pStyle w:val="Endnote-Link"/>
      </w:pPr>
      <w:hyperlink r:id="rId39" w:history="1">
        <w:r w:rsidR="005F247C" w:rsidRPr="008953EF">
          <w:rPr>
            <w:rStyle w:val="Hyperlink"/>
            <w:rFonts w:ascii="Lato" w:hAnsi="Lato"/>
            <w:sz w:val="16"/>
            <w:szCs w:val="16"/>
            <w:lang w:val="fr-CA"/>
          </w:rPr>
          <w:t>Tableau de surveillance: Système d’observation directe</w:t>
        </w:r>
        <w:r w:rsidR="005F247C" w:rsidRPr="005F247C">
          <w:rPr>
            <w:rStyle w:val="Hyperlink"/>
            <w:lang w:val="en-US"/>
          </w:rPr>
          <w:t xml:space="preserve"> </w:t>
        </w:r>
      </w:hyperlink>
      <w:r w:rsidR="003640B4">
        <w:rPr>
          <w:rStyle w:val="Hyperlink"/>
        </w:rPr>
        <w:t xml:space="preserve"> </w:t>
      </w:r>
    </w:p>
  </w:endnote>
  <w:endnote w:id="34">
    <w:p w14:paraId="619AF945" w14:textId="7A428E3E" w:rsidR="003640B4" w:rsidRDefault="003640B4" w:rsidP="0069631F">
      <w:pPr>
        <w:pStyle w:val="Endnote-H4"/>
        <w:spacing w:after="0"/>
      </w:pPr>
      <w:r>
        <w:rPr>
          <w:rStyle w:val="EndnoteReference"/>
        </w:rPr>
        <w:endnoteRef/>
      </w:r>
      <w:r>
        <w:t xml:space="preserve"> </w:t>
      </w:r>
      <w:r w:rsidR="005F247C">
        <w:rPr>
          <w:rFonts w:cstheme="minorHAnsi"/>
          <w:color w:val="000000"/>
          <w:lang w:val="fr-CA"/>
        </w:rPr>
        <w:t>Manœuvres de dépistage et soins préventifs</w:t>
      </w:r>
    </w:p>
    <w:p w14:paraId="1159BA84" w14:textId="019EA799" w:rsidR="003640B4" w:rsidRPr="008953EF" w:rsidRDefault="005F247C" w:rsidP="0069631F">
      <w:pPr>
        <w:pStyle w:val="Endnote-Bullet-L1"/>
        <w:spacing w:after="0"/>
        <w:rPr>
          <w:rFonts w:ascii="Lato" w:hAnsi="Lato"/>
          <w:sz w:val="16"/>
          <w:szCs w:val="16"/>
        </w:rPr>
      </w:pPr>
      <w:r w:rsidRPr="008953EF">
        <w:rPr>
          <w:rFonts w:ascii="Lato" w:hAnsi="Lato"/>
          <w:sz w:val="16"/>
          <w:szCs w:val="16"/>
          <w:lang w:val="fr-CA"/>
        </w:rPr>
        <w:t>Examinez les manœuvres de dépistage et les soins préventifs antérieurs et identifiez les besoins, conformément aux lignes directrices pour la population générale</w:t>
      </w:r>
      <w:r w:rsidR="003640B4" w:rsidRPr="008953EF">
        <w:rPr>
          <w:rFonts w:ascii="Lato" w:hAnsi="Lato"/>
          <w:sz w:val="16"/>
          <w:szCs w:val="16"/>
        </w:rPr>
        <w:t>.</w:t>
      </w:r>
    </w:p>
    <w:p w14:paraId="3A550364" w14:textId="0F9945E3" w:rsidR="003640B4" w:rsidRPr="008953EF" w:rsidRDefault="005F247C" w:rsidP="0069631F">
      <w:pPr>
        <w:pStyle w:val="Endnote-Bullet-L1"/>
        <w:spacing w:after="0"/>
        <w:rPr>
          <w:rFonts w:ascii="Lato" w:hAnsi="Lato"/>
          <w:sz w:val="16"/>
          <w:szCs w:val="16"/>
        </w:rPr>
      </w:pPr>
      <w:r w:rsidRPr="008953EF">
        <w:rPr>
          <w:rFonts w:ascii="Lato" w:hAnsi="Lato" w:cstheme="minorHAnsi"/>
          <w:color w:val="000000"/>
          <w:sz w:val="16"/>
          <w:szCs w:val="16"/>
          <w:lang w:val="fr-CA"/>
        </w:rPr>
        <w:t>Notez toute raison d'exclure l'utilisation d'une méthode de soins préventifs dans le PCP afin que cette information ne soit pas perdue pour les rendez-vous à venir</w:t>
      </w:r>
      <w:r w:rsidR="003640B4" w:rsidRPr="008953EF">
        <w:rPr>
          <w:rFonts w:ascii="Lato" w:hAnsi="Lato"/>
          <w:sz w:val="16"/>
          <w:szCs w:val="16"/>
        </w:rPr>
        <w:t>.</w:t>
      </w:r>
    </w:p>
    <w:p w14:paraId="5FBCE0E4" w14:textId="06789DE4" w:rsidR="003640B4" w:rsidRPr="008953EF" w:rsidRDefault="005F247C" w:rsidP="0069631F">
      <w:pPr>
        <w:pStyle w:val="Endnote-Context"/>
        <w:spacing w:after="0"/>
        <w:rPr>
          <w:rFonts w:ascii="Lato" w:hAnsi="Lato"/>
          <w:sz w:val="16"/>
          <w:szCs w:val="16"/>
        </w:rPr>
      </w:pPr>
      <w:r w:rsidRPr="008953EF">
        <w:rPr>
          <w:rFonts w:ascii="Lato" w:hAnsi="Lato" w:cstheme="minorHAnsi"/>
          <w:color w:val="000000"/>
          <w:sz w:val="16"/>
          <w:szCs w:val="16"/>
          <w:lang w:val="fr-CA"/>
        </w:rPr>
        <w:t>Les personnes ayant des DID sont moins susceptibles d'obtenir le soutien nécessaire afin de dépister et déclarer des symptômes précoces de cancer. Celles qui développent un cancer sont souvent diagnostiquées à un stade plus avancé que l’ensemble de la population</w:t>
      </w:r>
      <w:r w:rsidR="003640B4" w:rsidRPr="008953EF">
        <w:rPr>
          <w:rFonts w:ascii="Lato" w:hAnsi="Lato"/>
          <w:sz w:val="16"/>
          <w:szCs w:val="16"/>
        </w:rPr>
        <w:t>.</w:t>
      </w:r>
    </w:p>
    <w:p w14:paraId="6C0C7393" w14:textId="71F5610F" w:rsidR="003640B4" w:rsidRPr="008953EF" w:rsidRDefault="005F247C" w:rsidP="0069631F">
      <w:pPr>
        <w:pStyle w:val="Endnote-Context"/>
        <w:spacing w:after="0"/>
        <w:rPr>
          <w:rFonts w:ascii="Lato" w:hAnsi="Lato"/>
          <w:sz w:val="16"/>
          <w:szCs w:val="16"/>
        </w:rPr>
      </w:pPr>
      <w:r w:rsidRPr="008953EF">
        <w:rPr>
          <w:rFonts w:ascii="Lato" w:hAnsi="Lato" w:cstheme="minorHAnsi"/>
          <w:color w:val="000000"/>
          <w:sz w:val="16"/>
          <w:szCs w:val="16"/>
          <w:lang w:val="fr-CA"/>
        </w:rPr>
        <w:t>Utilisez du matériel facile à lire au sujet des tests pour informer les personnes ayant des DID avant l'examen, voir liens ci-dessous</w:t>
      </w:r>
      <w:r w:rsidR="003640B4" w:rsidRPr="008953EF">
        <w:rPr>
          <w:rFonts w:ascii="Lato" w:hAnsi="Lato"/>
          <w:sz w:val="16"/>
          <w:szCs w:val="16"/>
        </w:rPr>
        <w:t>.</w:t>
      </w:r>
    </w:p>
    <w:p w14:paraId="34BACC0F" w14:textId="5B821690" w:rsidR="003640B4" w:rsidRPr="008953EF" w:rsidRDefault="005F247C" w:rsidP="0069631F">
      <w:pPr>
        <w:pStyle w:val="Endnote-Context"/>
        <w:spacing w:after="0"/>
        <w:rPr>
          <w:rFonts w:ascii="Lato" w:hAnsi="Lato"/>
          <w:sz w:val="16"/>
          <w:szCs w:val="16"/>
        </w:rPr>
      </w:pPr>
      <w:r w:rsidRPr="008953EF">
        <w:rPr>
          <w:rFonts w:ascii="Lato" w:hAnsi="Lato"/>
          <w:sz w:val="16"/>
          <w:szCs w:val="16"/>
          <w:lang w:val="fr-CA"/>
        </w:rPr>
        <w:t>Identifiez les méthodes de soins préventifs en fonction de l’âge, du sexe et des facteurs de risque de la personne, comme pour l’ensemble de la population</w:t>
      </w:r>
      <w:r w:rsidR="003640B4" w:rsidRPr="008953EF">
        <w:rPr>
          <w:rFonts w:ascii="Lato" w:hAnsi="Lato"/>
          <w:sz w:val="16"/>
          <w:szCs w:val="16"/>
        </w:rPr>
        <w:t>.</w:t>
      </w:r>
    </w:p>
    <w:p w14:paraId="2E57032A" w14:textId="3EDE70A3" w:rsidR="003640B4" w:rsidRPr="008953EF" w:rsidRDefault="005F247C"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p>
    <w:bookmarkStart w:id="11" w:name="_Hlk78375539"/>
    <w:p w14:paraId="7684BDE3" w14:textId="2BF2089B" w:rsidR="003640B4" w:rsidRPr="008953EF" w:rsidRDefault="00D66D1E" w:rsidP="00037975">
      <w:pPr>
        <w:pStyle w:val="Endnote-Link"/>
        <w:rPr>
          <w:rFonts w:ascii="Lato" w:hAnsi="Lato"/>
          <w:b/>
          <w:bCs/>
          <w:sz w:val="16"/>
          <w:szCs w:val="16"/>
        </w:rPr>
      </w:pPr>
      <w:r w:rsidRPr="008953EF">
        <w:rPr>
          <w:rStyle w:val="Hyperlink"/>
          <w:rFonts w:ascii="Lato" w:hAnsi="Lato"/>
          <w:sz w:val="16"/>
          <w:szCs w:val="16"/>
        </w:rPr>
        <w:fldChar w:fldCharType="begin"/>
      </w:r>
      <w:r w:rsidRPr="008953EF">
        <w:rPr>
          <w:rStyle w:val="Hyperlink"/>
          <w:rFonts w:ascii="Lato" w:hAnsi="Lato"/>
          <w:sz w:val="16"/>
          <w:szCs w:val="16"/>
        </w:rPr>
        <w:instrText xml:space="preserve"> HYPERLINK "https://www.easyhealth.org.uk" </w:instrText>
      </w:r>
      <w:r w:rsidRPr="008953EF">
        <w:rPr>
          <w:rStyle w:val="Hyperlink"/>
          <w:rFonts w:ascii="Lato" w:hAnsi="Lato"/>
          <w:sz w:val="16"/>
          <w:szCs w:val="16"/>
        </w:rPr>
      </w:r>
      <w:r w:rsidRPr="008953EF">
        <w:rPr>
          <w:rStyle w:val="Hyperlink"/>
          <w:rFonts w:ascii="Lato" w:hAnsi="Lato"/>
          <w:sz w:val="16"/>
          <w:szCs w:val="16"/>
        </w:rPr>
        <w:fldChar w:fldCharType="separate"/>
      </w:r>
      <w:proofErr w:type="spellStart"/>
      <w:r w:rsidRPr="008953EF">
        <w:rPr>
          <w:rStyle w:val="Hyperlink"/>
          <w:rFonts w:ascii="Lato" w:hAnsi="Lato"/>
          <w:sz w:val="16"/>
          <w:szCs w:val="16"/>
        </w:rPr>
        <w:t>EasyHealth</w:t>
      </w:r>
      <w:proofErr w:type="spellEnd"/>
      <w:r w:rsidRPr="008953EF">
        <w:rPr>
          <w:rStyle w:val="Hyperlink"/>
          <w:rFonts w:ascii="Lato" w:hAnsi="Lato"/>
          <w:sz w:val="16"/>
          <w:szCs w:val="16"/>
        </w:rPr>
        <w:fldChar w:fldCharType="end"/>
      </w:r>
      <w:r w:rsidR="003640B4" w:rsidRPr="008953EF">
        <w:rPr>
          <w:rStyle w:val="Hyperlink"/>
          <w:rFonts w:ascii="Lato" w:hAnsi="Lato"/>
          <w:sz w:val="16"/>
          <w:szCs w:val="16"/>
        </w:rPr>
        <w:t xml:space="preserve"> </w:t>
      </w:r>
      <w:r w:rsidR="005F247C" w:rsidRPr="008953EF">
        <w:rPr>
          <w:rFonts w:ascii="Lato" w:hAnsi="Lato" w:cstheme="minorHAnsi"/>
          <w:color w:val="000000"/>
          <w:sz w:val="16"/>
          <w:szCs w:val="16"/>
          <w:lang w:val="fr-CA"/>
        </w:rPr>
        <w:t>dépliants faciles à lire sur de nombreux sujets liés à la santé par</w:t>
      </w:r>
      <w:r w:rsidR="005F247C" w:rsidRPr="008953EF">
        <w:rPr>
          <w:rFonts w:ascii="Lato" w:hAnsi="Lato"/>
          <w:sz w:val="16"/>
          <w:szCs w:val="16"/>
        </w:rPr>
        <w:t xml:space="preserve"> </w:t>
      </w:r>
      <w:proofErr w:type="spellStart"/>
      <w:r w:rsidRPr="008953EF">
        <w:rPr>
          <w:rFonts w:ascii="Lato" w:hAnsi="Lato"/>
          <w:sz w:val="16"/>
          <w:szCs w:val="16"/>
        </w:rPr>
        <w:t>EasyHealth</w:t>
      </w:r>
      <w:proofErr w:type="spellEnd"/>
      <w:r w:rsidRPr="008953EF">
        <w:rPr>
          <w:rFonts w:ascii="Lato" w:hAnsi="Lato"/>
          <w:sz w:val="16"/>
          <w:szCs w:val="16"/>
        </w:rPr>
        <w:t xml:space="preserve">, Generate Opportunities Ltd., </w:t>
      </w:r>
      <w:r w:rsidR="005F247C" w:rsidRPr="008953EF">
        <w:rPr>
          <w:rFonts w:ascii="Lato" w:hAnsi="Lato" w:cstheme="minorHAnsi"/>
          <w:color w:val="000000"/>
          <w:sz w:val="16"/>
          <w:szCs w:val="16"/>
          <w:lang w:val="fr-CA"/>
        </w:rPr>
        <w:t>Royaume-Uni. L'accès à ce site est gratuit mais nécessite une inscription facile</w:t>
      </w:r>
      <w:r w:rsidRPr="008953EF">
        <w:rPr>
          <w:rFonts w:ascii="Lato" w:hAnsi="Lato"/>
          <w:sz w:val="16"/>
          <w:szCs w:val="16"/>
        </w:rPr>
        <w:t>.</w:t>
      </w:r>
      <w:bookmarkEnd w:id="11"/>
    </w:p>
  </w:endnote>
  <w:endnote w:id="35">
    <w:p w14:paraId="4E095D0E" w14:textId="14F6A791" w:rsidR="0016538B" w:rsidRDefault="0016538B" w:rsidP="0069631F">
      <w:pPr>
        <w:pStyle w:val="Endnote-H4"/>
        <w:spacing w:after="0"/>
      </w:pPr>
      <w:r>
        <w:rPr>
          <w:rStyle w:val="EndnoteReference"/>
        </w:rPr>
        <w:endnoteRef/>
      </w:r>
      <w:r>
        <w:t xml:space="preserve"> </w:t>
      </w:r>
      <w:r w:rsidR="005F247C">
        <w:rPr>
          <w:lang w:val="fr-CA"/>
        </w:rPr>
        <w:t>Examen physique</w:t>
      </w:r>
    </w:p>
    <w:p w14:paraId="3C3C45DC" w14:textId="0DB17939" w:rsidR="0016538B" w:rsidRPr="008953EF" w:rsidRDefault="005F247C" w:rsidP="00D66D1E">
      <w:pPr>
        <w:pStyle w:val="Endnote-Context"/>
        <w:rPr>
          <w:rFonts w:ascii="Lato" w:hAnsi="Lato"/>
          <w:sz w:val="16"/>
          <w:szCs w:val="16"/>
        </w:rPr>
      </w:pPr>
      <w:r w:rsidRPr="008953EF">
        <w:rPr>
          <w:rFonts w:ascii="Lato" w:hAnsi="Lato"/>
          <w:sz w:val="16"/>
          <w:szCs w:val="16"/>
          <w:lang w:val="fr-CA"/>
        </w:rPr>
        <w:t>Ce modèle propose un examen physique complet, mais, particulièrement pour les patients qui peuvent décrire leurs symptômes avec précision, un examen physique axé sur les problèmes identifiés par l'anamnèse est approprié et plus pratique</w:t>
      </w:r>
      <w:r w:rsidR="0016538B" w:rsidRPr="008953EF">
        <w:rPr>
          <w:rFonts w:ascii="Lato" w:hAnsi="Lato"/>
          <w:sz w:val="16"/>
          <w:szCs w:val="16"/>
        </w:rPr>
        <w:t>.</w:t>
      </w:r>
    </w:p>
    <w:p w14:paraId="6F50EED2" w14:textId="10B4F4ED" w:rsidR="0016538B" w:rsidRPr="008953EF" w:rsidRDefault="005F247C" w:rsidP="0069631F">
      <w:pPr>
        <w:pStyle w:val="Endnote-H5"/>
        <w:spacing w:after="0"/>
        <w:rPr>
          <w:rFonts w:ascii="Lato" w:hAnsi="Lato"/>
          <w:sz w:val="16"/>
          <w:szCs w:val="16"/>
        </w:rPr>
      </w:pPr>
      <w:r w:rsidRPr="008953EF">
        <w:rPr>
          <w:rFonts w:ascii="Lato" w:hAnsi="Lato" w:cstheme="minorHAnsi"/>
          <w:color w:val="000000"/>
          <w:sz w:val="16"/>
          <w:szCs w:val="16"/>
          <w:lang w:val="fr-CA"/>
        </w:rPr>
        <w:t>OUTILS POUR LA PRATIQUE</w:t>
      </w:r>
    </w:p>
    <w:p w14:paraId="51A451ED" w14:textId="6F62A0A2" w:rsidR="0016538B" w:rsidRPr="008953EF" w:rsidRDefault="00000000" w:rsidP="00037975">
      <w:pPr>
        <w:pStyle w:val="Endnote-Link"/>
        <w:rPr>
          <w:rFonts w:ascii="Lato" w:hAnsi="Lato"/>
          <w:sz w:val="16"/>
          <w:szCs w:val="16"/>
        </w:rPr>
      </w:pPr>
      <w:hyperlink r:id="rId40" w:history="1">
        <w:r w:rsidR="00025564" w:rsidRPr="008953EF">
          <w:rPr>
            <w:rStyle w:val="Hyperlink"/>
            <w:rFonts w:ascii="Lato" w:hAnsi="Lato"/>
            <w:sz w:val="16"/>
            <w:szCs w:val="16"/>
            <w:lang w:val="en-US"/>
          </w:rPr>
          <w:t>Keys to Success when Examining Patients with Developmental Disabilities</w:t>
        </w:r>
      </w:hyperlink>
      <w:r w:rsidR="00025564" w:rsidRPr="008953EF">
        <w:rPr>
          <w:rFonts w:ascii="Lato" w:hAnsi="Lato"/>
          <w:sz w:val="16"/>
          <w:szCs w:val="16"/>
        </w:rPr>
        <w:t xml:space="preserve"> </w:t>
      </w:r>
      <w:r w:rsidR="005F247C" w:rsidRPr="008953EF">
        <w:rPr>
          <w:rFonts w:ascii="Lato" w:hAnsi="Lato" w:cstheme="minorHAnsi"/>
          <w:color w:val="000000"/>
          <w:sz w:val="16"/>
          <w:szCs w:val="16"/>
          <w:lang w:val="fr-CA"/>
        </w:rPr>
        <w:t xml:space="preserve">(vidéo d’un médecin de famille démontrant certaines étapes de l’examen physique d’un adulte ayant des DID- en anglais), par le Curriculum of </w:t>
      </w:r>
      <w:proofErr w:type="spellStart"/>
      <w:r w:rsidR="005F247C" w:rsidRPr="008953EF">
        <w:rPr>
          <w:rFonts w:ascii="Lato" w:hAnsi="Lato" w:cstheme="minorHAnsi"/>
          <w:color w:val="000000"/>
          <w:sz w:val="16"/>
          <w:szCs w:val="16"/>
          <w:lang w:val="fr-CA"/>
        </w:rPr>
        <w:t>Caring</w:t>
      </w:r>
      <w:proofErr w:type="spellEnd"/>
      <w:r w:rsidR="005F247C" w:rsidRPr="008953EF">
        <w:rPr>
          <w:rFonts w:ascii="Lato" w:hAnsi="Lato" w:cstheme="minorHAnsi"/>
          <w:color w:val="000000"/>
          <w:sz w:val="16"/>
          <w:szCs w:val="16"/>
          <w:lang w:val="fr-CA"/>
        </w:rPr>
        <w:t>, Université McMaster (</w:t>
      </w:r>
      <w:proofErr w:type="gramStart"/>
      <w:r w:rsidR="005F247C" w:rsidRPr="008953EF">
        <w:rPr>
          <w:rFonts w:ascii="Lato" w:hAnsi="Lato" w:cstheme="minorHAnsi"/>
          <w:color w:val="000000"/>
          <w:sz w:val="16"/>
          <w:szCs w:val="16"/>
          <w:lang w:val="fr-CA"/>
        </w:rPr>
        <w:t>durée :</w:t>
      </w:r>
      <w:proofErr w:type="gramEnd"/>
      <w:r w:rsidR="005F247C" w:rsidRPr="008953EF">
        <w:rPr>
          <w:rFonts w:ascii="Lato" w:hAnsi="Lato" w:cstheme="minorHAnsi"/>
          <w:color w:val="000000"/>
          <w:sz w:val="16"/>
          <w:szCs w:val="16"/>
          <w:lang w:val="fr-CA"/>
        </w:rPr>
        <w:t xml:space="preserve"> 8 min</w:t>
      </w:r>
      <w:r w:rsidR="0016538B" w:rsidRPr="008953EF">
        <w:rPr>
          <w:rFonts w:ascii="Lato" w:hAnsi="Lato"/>
          <w:sz w:val="16"/>
          <w:szCs w:val="16"/>
        </w:rPr>
        <w:t>).</w:t>
      </w:r>
    </w:p>
  </w:endnote>
  <w:endnote w:id="36">
    <w:p w14:paraId="0E7D072E" w14:textId="0485E345" w:rsidR="00766591" w:rsidRPr="001E7A0B" w:rsidRDefault="00766591" w:rsidP="0069631F">
      <w:pPr>
        <w:pStyle w:val="Endnote-H4"/>
        <w:spacing w:after="0"/>
      </w:pPr>
      <w:r w:rsidRPr="00EA151E">
        <w:rPr>
          <w:rStyle w:val="EndnoteTextChar"/>
          <w:rFonts w:ascii="Lato Black" w:hAnsi="Lato Black"/>
          <w:vertAlign w:val="superscript"/>
        </w:rPr>
        <w:endnoteRef/>
      </w:r>
      <w:r>
        <w:t xml:space="preserve"> </w:t>
      </w:r>
      <w:r w:rsidR="005F247C">
        <w:rPr>
          <w:rFonts w:cstheme="minorHAnsi"/>
          <w:color w:val="000000"/>
        </w:rPr>
        <w:t xml:space="preserve">Signes </w:t>
      </w:r>
      <w:proofErr w:type="spellStart"/>
      <w:r w:rsidR="005F247C">
        <w:rPr>
          <w:rFonts w:cstheme="minorHAnsi"/>
          <w:color w:val="000000"/>
        </w:rPr>
        <w:t>vitaux</w:t>
      </w:r>
      <w:proofErr w:type="spellEnd"/>
    </w:p>
    <w:p w14:paraId="6D893731" w14:textId="1F4B93E4" w:rsidR="00766591" w:rsidRPr="008953EF" w:rsidRDefault="004D5587" w:rsidP="00CE3265">
      <w:pPr>
        <w:pStyle w:val="Endnote-Context"/>
        <w:rPr>
          <w:rFonts w:ascii="Lato" w:hAnsi="Lato"/>
          <w:sz w:val="16"/>
          <w:szCs w:val="16"/>
        </w:rPr>
      </w:pPr>
      <w:r w:rsidRPr="008953EF">
        <w:rPr>
          <w:rFonts w:ascii="Lato" w:hAnsi="Lato" w:cstheme="minorHAnsi"/>
          <w:color w:val="000000"/>
          <w:sz w:val="16"/>
          <w:szCs w:val="16"/>
          <w:lang w:val="fr-CA"/>
        </w:rPr>
        <w:t>La documentation des signes vitaux lorsque le patient est en santé permet d'établir un niveau de base pour des fins de comparaison quand le patient est malade. Le tour de taille et le tour de hanches peuvent être utilisés s'il est difficile de peser le patient sur une balance</w:t>
      </w:r>
      <w:r w:rsidR="00766591" w:rsidRPr="008953EF">
        <w:rPr>
          <w:rFonts w:ascii="Lato" w:hAnsi="Lato"/>
          <w:sz w:val="16"/>
          <w:szCs w:val="16"/>
        </w:rPr>
        <w:t>.</w:t>
      </w:r>
    </w:p>
    <w:p w14:paraId="44173794" w14:textId="13168237" w:rsidR="00766591" w:rsidRPr="008953EF" w:rsidRDefault="004D5587" w:rsidP="00CE3265">
      <w:pPr>
        <w:pStyle w:val="Endnote-Context"/>
        <w:rPr>
          <w:rFonts w:ascii="Lato" w:hAnsi="Lato"/>
          <w:b/>
          <w:bCs/>
          <w:sz w:val="16"/>
          <w:szCs w:val="16"/>
        </w:rPr>
      </w:pPr>
      <w:r w:rsidRPr="008953EF">
        <w:rPr>
          <w:rFonts w:ascii="Lato" w:hAnsi="Lato"/>
          <w:sz w:val="16"/>
          <w:szCs w:val="16"/>
          <w:lang w:val="fr-CA"/>
        </w:rPr>
        <w:t>Songez à utiliser un tensiomètre poignet si un tensiomètre pour le bras n'est pas acceptable. Hypertension Canada identifie des modèles acceptables. Il peut être utile de tenir la main du patient pendant la mesure</w:t>
      </w:r>
      <w:r w:rsidR="00766591" w:rsidRPr="008953EF">
        <w:rPr>
          <w:rFonts w:ascii="Lato" w:hAnsi="Lato"/>
          <w:sz w:val="16"/>
          <w:szCs w:val="16"/>
        </w:rPr>
        <w:t xml:space="preserve">.  </w:t>
      </w:r>
    </w:p>
    <w:p w14:paraId="1079624D" w14:textId="2BEADD07" w:rsidR="00766591" w:rsidRPr="008953EF" w:rsidRDefault="004D5587" w:rsidP="00CE3265">
      <w:pPr>
        <w:pStyle w:val="Endnote-Context"/>
        <w:rPr>
          <w:rFonts w:ascii="Lato" w:hAnsi="Lato"/>
          <w:sz w:val="16"/>
          <w:szCs w:val="16"/>
        </w:rPr>
      </w:pPr>
      <w:r w:rsidRPr="008953EF">
        <w:rPr>
          <w:rFonts w:ascii="Lato" w:hAnsi="Lato" w:cstheme="minorHAnsi"/>
          <w:color w:val="000000"/>
          <w:sz w:val="16"/>
          <w:szCs w:val="16"/>
          <w:lang w:val="fr-CA"/>
        </w:rPr>
        <w:t>Entrez les données dans ce formulaire ou, dans un souci de continuité, dans les champs appropriés de votre dossier médical électronique (DME)</w:t>
      </w:r>
      <w:r w:rsidR="00DC64BA" w:rsidRPr="008953EF">
        <w:rPr>
          <w:rFonts w:ascii="Lato" w:hAnsi="Lato"/>
          <w:sz w:val="16"/>
          <w:szCs w:val="16"/>
        </w:rPr>
        <w:t>.</w:t>
      </w:r>
      <w:r w:rsidR="00766591" w:rsidRPr="008953EF">
        <w:rPr>
          <w:rFonts w:ascii="Lato" w:hAnsi="Lato"/>
          <w:sz w:val="16"/>
          <w:szCs w:val="16"/>
        </w:rPr>
        <w:t xml:space="preserve"> </w:t>
      </w:r>
    </w:p>
  </w:endnote>
  <w:endnote w:id="37">
    <w:p w14:paraId="5F56F2F9" w14:textId="556E45D4" w:rsidR="00766591" w:rsidRDefault="00766591" w:rsidP="0069631F">
      <w:pPr>
        <w:pStyle w:val="Endnote-H4"/>
        <w:spacing w:after="0"/>
      </w:pPr>
      <w:r w:rsidRPr="008E1D45">
        <w:rPr>
          <w:vertAlign w:val="superscript"/>
        </w:rPr>
        <w:endnoteRef/>
      </w:r>
      <w:r w:rsidRPr="008E1D45">
        <w:rPr>
          <w:vertAlign w:val="superscript"/>
        </w:rPr>
        <w:t xml:space="preserve"> </w:t>
      </w:r>
      <w:r w:rsidR="004D5587">
        <w:rPr>
          <w:rFonts w:cstheme="minorHAnsi"/>
          <w:color w:val="000000"/>
        </w:rPr>
        <w:t>Yeux, vision</w:t>
      </w:r>
    </w:p>
    <w:p w14:paraId="25B41B0B" w14:textId="4902DE84" w:rsidR="00766591" w:rsidRPr="008953EF" w:rsidRDefault="004D5587" w:rsidP="00732486">
      <w:pPr>
        <w:pStyle w:val="Endnote-Bullet-L1"/>
        <w:spacing w:after="0"/>
        <w:rPr>
          <w:rFonts w:ascii="Lato" w:hAnsi="Lato"/>
          <w:sz w:val="16"/>
          <w:szCs w:val="16"/>
        </w:rPr>
      </w:pPr>
      <w:r w:rsidRPr="008953EF">
        <w:rPr>
          <w:rFonts w:ascii="Lato" w:hAnsi="Lato" w:cstheme="minorHAnsi"/>
          <w:color w:val="000000"/>
          <w:sz w:val="16"/>
          <w:szCs w:val="16"/>
          <w:lang w:val="fr-CA"/>
        </w:rPr>
        <w:t>Examinez la vision régulièrement et notez lorsque des symptômes ou des signes de troubles visuels sont observés, y compris des changements de comportement et de fonctionnement adaptatif</w:t>
      </w:r>
      <w:r w:rsidR="00766591" w:rsidRPr="008953EF">
        <w:rPr>
          <w:rFonts w:ascii="Lato" w:hAnsi="Lato"/>
          <w:sz w:val="16"/>
          <w:szCs w:val="16"/>
        </w:rPr>
        <w:t>.</w:t>
      </w:r>
    </w:p>
    <w:p w14:paraId="097E2DA5" w14:textId="700BE64B" w:rsidR="00766591" w:rsidRPr="008953EF" w:rsidRDefault="004D5587" w:rsidP="0069631F">
      <w:pPr>
        <w:pStyle w:val="Endnote-Bullet-L1"/>
        <w:spacing w:after="0"/>
        <w:rPr>
          <w:rFonts w:ascii="Lato" w:hAnsi="Lato"/>
          <w:sz w:val="16"/>
          <w:szCs w:val="16"/>
        </w:rPr>
      </w:pPr>
      <w:r w:rsidRPr="008953EF">
        <w:rPr>
          <w:rFonts w:ascii="Lato" w:hAnsi="Lato"/>
          <w:sz w:val="16"/>
          <w:szCs w:val="16"/>
          <w:lang w:val="fr-CA"/>
        </w:rPr>
        <w:t>Aiguillez le patient vers un spécialiste tous les 2 ans après l'âge de 40 ans afin de détecter le glaucome et les cataractes</w:t>
      </w:r>
      <w:r w:rsidR="00104177" w:rsidRPr="008953EF">
        <w:rPr>
          <w:rFonts w:ascii="Lato" w:hAnsi="Lato"/>
          <w:sz w:val="16"/>
          <w:szCs w:val="16"/>
        </w:rPr>
        <w:t>.</w:t>
      </w:r>
    </w:p>
    <w:p w14:paraId="36053356" w14:textId="4043F4AD" w:rsidR="00766591" w:rsidRPr="008953EF" w:rsidRDefault="004D5587" w:rsidP="00A05F23">
      <w:pPr>
        <w:pStyle w:val="Endnote-Context"/>
        <w:rPr>
          <w:rFonts w:ascii="Lato" w:hAnsi="Lato"/>
          <w:sz w:val="16"/>
          <w:szCs w:val="16"/>
        </w:rPr>
      </w:pPr>
      <w:r w:rsidRPr="008953EF">
        <w:rPr>
          <w:rFonts w:ascii="Lato" w:hAnsi="Lato" w:cstheme="minorHAnsi"/>
          <w:color w:val="000000"/>
          <w:sz w:val="16"/>
          <w:szCs w:val="16"/>
          <w:lang w:val="fr-CA"/>
        </w:rPr>
        <w:t>Avant d'évaluer l'acuité visuelle, permettez à la personne d’observer le tableau de près afin qu'elle puisse identifier chaque lettre ou chaque image sur le tableau. Donnez aux patients qui ne veulent pas ou qui ne peuvent pas répondre verbalement une carte sur laquelle on retrouve les mêmes lettres ou les mêmes images que sur le tableau. Cela leur permettra d'associer la lettre ou l'image aperçue sur le tableau à distance à la lettre ou l'image correspondante sur la carte sur la carte qu’ils tiennent en pointant dessus</w:t>
      </w:r>
      <w:r w:rsidR="00766591" w:rsidRPr="008953EF">
        <w:rPr>
          <w:rFonts w:ascii="Lato" w:hAnsi="Lato"/>
          <w:sz w:val="16"/>
          <w:szCs w:val="16"/>
        </w:rPr>
        <w:t>.</w:t>
      </w:r>
    </w:p>
    <w:p w14:paraId="008F2BF5" w14:textId="38BC784D" w:rsidR="00766591" w:rsidRPr="008953EF" w:rsidRDefault="004D5587" w:rsidP="005032B2">
      <w:pPr>
        <w:pStyle w:val="Endnote-Context"/>
        <w:spacing w:after="0"/>
        <w:rPr>
          <w:rFonts w:ascii="Lato" w:hAnsi="Lato"/>
          <w:sz w:val="16"/>
          <w:szCs w:val="16"/>
        </w:rPr>
      </w:pPr>
      <w:r w:rsidRPr="008953EF">
        <w:rPr>
          <w:rFonts w:ascii="Lato" w:hAnsi="Lato" w:cstheme="minorHAnsi"/>
          <w:color w:val="000000"/>
          <w:sz w:val="16"/>
          <w:szCs w:val="16"/>
          <w:lang w:val="fr-CA"/>
        </w:rPr>
        <w:t>Méthodes diagnostiques applicables à différents âges du développement (ou équivalents d'âge mental</w:t>
      </w:r>
      <w:r w:rsidR="00766591" w:rsidRPr="008953EF">
        <w:rPr>
          <w:rFonts w:ascii="Lato" w:hAnsi="Lato"/>
          <w:sz w:val="16"/>
          <w:szCs w:val="16"/>
        </w:rPr>
        <w:t xml:space="preserve">): </w:t>
      </w:r>
    </w:p>
    <w:p w14:paraId="0F9614F2" w14:textId="0EA114B3" w:rsidR="00766591" w:rsidRPr="008953EF" w:rsidRDefault="004D5587" w:rsidP="00732486">
      <w:pPr>
        <w:pStyle w:val="Endnote-Bullet-L2"/>
        <w:shd w:val="clear" w:color="auto" w:fill="F2F2F2" w:themeFill="background1" w:themeFillShade="F2"/>
        <w:spacing w:after="0"/>
        <w:ind w:left="360" w:right="-84"/>
        <w:rPr>
          <w:rFonts w:ascii="Lato" w:hAnsi="Lato"/>
          <w:sz w:val="16"/>
          <w:szCs w:val="16"/>
        </w:rPr>
      </w:pPr>
      <w:proofErr w:type="gramStart"/>
      <w:r w:rsidRPr="008953EF">
        <w:rPr>
          <w:rFonts w:ascii="Lato" w:hAnsi="Lato" w:cstheme="minorHAnsi"/>
          <w:color w:val="000000"/>
          <w:sz w:val="16"/>
          <w:szCs w:val="16"/>
          <w:lang w:val="fr-CA"/>
        </w:rPr>
        <w:t>examen</w:t>
      </w:r>
      <w:proofErr w:type="gramEnd"/>
      <w:r w:rsidRPr="008953EF">
        <w:rPr>
          <w:rFonts w:ascii="Lato" w:hAnsi="Lato" w:cstheme="minorHAnsi"/>
          <w:color w:val="000000"/>
          <w:sz w:val="16"/>
          <w:szCs w:val="16"/>
          <w:lang w:val="fr-CA"/>
        </w:rPr>
        <w:t xml:space="preserve"> oculaire, mouvements des yeux, attention visuelle et fixation : &gt; 2 mois;</w:t>
      </w:r>
      <w:r w:rsidR="00766591" w:rsidRPr="008953EF">
        <w:rPr>
          <w:rFonts w:ascii="Lato" w:hAnsi="Lato"/>
          <w:sz w:val="16"/>
          <w:szCs w:val="16"/>
        </w:rPr>
        <w:t xml:space="preserve"> </w:t>
      </w:r>
    </w:p>
    <w:p w14:paraId="0BAE5193" w14:textId="0FC834DF" w:rsidR="00766591" w:rsidRPr="008953EF" w:rsidRDefault="004D5587" w:rsidP="00732486">
      <w:pPr>
        <w:pStyle w:val="Endnote-Bullet-L2"/>
        <w:shd w:val="clear" w:color="auto" w:fill="F2F2F2" w:themeFill="background1" w:themeFillShade="F2"/>
        <w:spacing w:after="0"/>
        <w:ind w:left="360" w:right="-84"/>
        <w:rPr>
          <w:rFonts w:ascii="Lato" w:hAnsi="Lato"/>
          <w:sz w:val="16"/>
          <w:szCs w:val="16"/>
        </w:rPr>
      </w:pPr>
      <w:proofErr w:type="gramStart"/>
      <w:r w:rsidRPr="008953EF">
        <w:rPr>
          <w:rFonts w:ascii="Lato" w:hAnsi="Lato" w:cstheme="minorHAnsi"/>
          <w:color w:val="000000"/>
          <w:sz w:val="16"/>
          <w:szCs w:val="16"/>
          <w:lang w:val="fr-CA"/>
        </w:rPr>
        <w:t>champs</w:t>
      </w:r>
      <w:proofErr w:type="gramEnd"/>
      <w:r w:rsidRPr="008953EF">
        <w:rPr>
          <w:rFonts w:ascii="Lato" w:hAnsi="Lato" w:cstheme="minorHAnsi"/>
          <w:color w:val="000000"/>
          <w:sz w:val="16"/>
          <w:szCs w:val="16"/>
          <w:lang w:val="fr-CA"/>
        </w:rPr>
        <w:t xml:space="preserve"> visuels (méthode de la confrontation) : &gt; 2 mois;</w:t>
      </w:r>
    </w:p>
    <w:p w14:paraId="397C2239" w14:textId="14B5714C" w:rsidR="00766591" w:rsidRPr="008953EF" w:rsidRDefault="004D5587" w:rsidP="00732486">
      <w:pPr>
        <w:pStyle w:val="Endnote-Bullet-L2"/>
        <w:shd w:val="clear" w:color="auto" w:fill="F2F2F2" w:themeFill="background1" w:themeFillShade="F2"/>
        <w:spacing w:after="0"/>
        <w:ind w:left="360" w:right="-84"/>
        <w:rPr>
          <w:rFonts w:ascii="Lato" w:hAnsi="Lato"/>
          <w:sz w:val="16"/>
          <w:szCs w:val="16"/>
        </w:rPr>
      </w:pPr>
      <w:proofErr w:type="gramStart"/>
      <w:r w:rsidRPr="008953EF">
        <w:rPr>
          <w:rFonts w:ascii="Lato" w:hAnsi="Lato" w:cstheme="minorHAnsi"/>
          <w:color w:val="000000"/>
          <w:sz w:val="16"/>
          <w:szCs w:val="16"/>
          <w:lang w:val="fr-CA"/>
        </w:rPr>
        <w:t>tableau</w:t>
      </w:r>
      <w:proofErr w:type="gramEnd"/>
      <w:r w:rsidRPr="008953EF">
        <w:rPr>
          <w:rFonts w:ascii="Lato" w:hAnsi="Lato" w:cstheme="minorHAnsi"/>
          <w:color w:val="000000"/>
          <w:sz w:val="16"/>
          <w:szCs w:val="16"/>
          <w:lang w:val="fr-CA"/>
        </w:rPr>
        <w:t xml:space="preserve"> d'images (p. ex. Patti Pics) : &gt; 3 à 4 ans;</w:t>
      </w:r>
      <w:r w:rsidR="00766591" w:rsidRPr="008953EF">
        <w:rPr>
          <w:rFonts w:ascii="Lato" w:hAnsi="Lato"/>
          <w:sz w:val="16"/>
          <w:szCs w:val="16"/>
        </w:rPr>
        <w:t xml:space="preserve"> </w:t>
      </w:r>
    </w:p>
    <w:p w14:paraId="6A39AE2C" w14:textId="7F0F036B" w:rsidR="00766591" w:rsidRPr="008953EF" w:rsidRDefault="004D5587" w:rsidP="00732486">
      <w:pPr>
        <w:pStyle w:val="Endnote-Bullet-L2"/>
        <w:shd w:val="clear" w:color="auto" w:fill="F2F2F2" w:themeFill="background1" w:themeFillShade="F2"/>
        <w:spacing w:after="0"/>
        <w:ind w:left="360" w:right="-84"/>
        <w:rPr>
          <w:rFonts w:ascii="Lato" w:hAnsi="Lato"/>
          <w:sz w:val="16"/>
          <w:szCs w:val="16"/>
        </w:rPr>
      </w:pPr>
      <w:r w:rsidRPr="008953EF">
        <w:rPr>
          <w:rFonts w:ascii="Lato" w:hAnsi="Lato" w:cstheme="minorHAnsi"/>
          <w:color w:val="000000"/>
          <w:sz w:val="16"/>
          <w:szCs w:val="16"/>
          <w:lang w:val="fr-CA"/>
        </w:rPr>
        <w:t>Culbute « E » : &gt; 4 à 5 ans</w:t>
      </w:r>
      <w:r w:rsidRPr="008953EF">
        <w:rPr>
          <w:rFonts w:ascii="Lato" w:hAnsi="Lato"/>
          <w:sz w:val="16"/>
          <w:szCs w:val="16"/>
        </w:rPr>
        <w:t>;</w:t>
      </w:r>
      <w:r w:rsidR="00766591" w:rsidRPr="008953EF">
        <w:rPr>
          <w:rFonts w:ascii="Lato" w:hAnsi="Lato"/>
          <w:sz w:val="16"/>
          <w:szCs w:val="16"/>
        </w:rPr>
        <w:t xml:space="preserve"> </w:t>
      </w:r>
    </w:p>
    <w:p w14:paraId="4A1014FA" w14:textId="5B01BBA0" w:rsidR="00766591" w:rsidRPr="008953EF" w:rsidRDefault="004D5587" w:rsidP="00732486">
      <w:pPr>
        <w:pStyle w:val="Endnote-Bullet-L2"/>
        <w:shd w:val="clear" w:color="auto" w:fill="F2F2F2" w:themeFill="background1" w:themeFillShade="F2"/>
        <w:ind w:left="360" w:right="-84"/>
        <w:rPr>
          <w:rFonts w:ascii="Lato" w:hAnsi="Lato"/>
          <w:sz w:val="16"/>
          <w:szCs w:val="16"/>
        </w:rPr>
      </w:pPr>
      <w:r w:rsidRPr="008953EF">
        <w:rPr>
          <w:rFonts w:ascii="Lato" w:hAnsi="Lato" w:cstheme="minorHAnsi"/>
          <w:color w:val="000000"/>
          <w:sz w:val="16"/>
          <w:szCs w:val="16"/>
          <w:lang w:val="fr-CA"/>
        </w:rPr>
        <w:t xml:space="preserve">Tableau de </w:t>
      </w:r>
      <w:proofErr w:type="spellStart"/>
      <w:r w:rsidRPr="008953EF">
        <w:rPr>
          <w:rFonts w:ascii="Lato" w:hAnsi="Lato" w:cstheme="minorHAnsi"/>
          <w:color w:val="000000"/>
          <w:sz w:val="16"/>
          <w:szCs w:val="16"/>
          <w:lang w:val="fr-CA"/>
        </w:rPr>
        <w:t>Snellen</w:t>
      </w:r>
      <w:proofErr w:type="spellEnd"/>
      <w:r w:rsidRPr="008953EF">
        <w:rPr>
          <w:rFonts w:ascii="Lato" w:hAnsi="Lato" w:cstheme="minorHAnsi"/>
          <w:color w:val="000000"/>
          <w:sz w:val="16"/>
          <w:szCs w:val="16"/>
          <w:lang w:val="fr-CA"/>
        </w:rPr>
        <w:t xml:space="preserve"> : &gt; 6 ans;</w:t>
      </w:r>
    </w:p>
  </w:endnote>
  <w:endnote w:id="38">
    <w:p w14:paraId="1C0183A0" w14:textId="2F303721" w:rsidR="00766591" w:rsidRDefault="00766591" w:rsidP="0069631F">
      <w:pPr>
        <w:pStyle w:val="Endnote-H4"/>
        <w:spacing w:after="0"/>
      </w:pPr>
      <w:r w:rsidRPr="004C2CF4">
        <w:rPr>
          <w:vertAlign w:val="superscript"/>
        </w:rPr>
        <w:endnoteRef/>
      </w:r>
      <w:r>
        <w:t xml:space="preserve"> </w:t>
      </w:r>
      <w:r w:rsidR="004D5587">
        <w:rPr>
          <w:rFonts w:cstheme="minorHAnsi"/>
          <w:color w:val="000000"/>
        </w:rPr>
        <w:t>Oreilles, conduits, audition</w:t>
      </w:r>
    </w:p>
    <w:p w14:paraId="01234B46" w14:textId="0F84D816" w:rsidR="00766591" w:rsidRPr="008953EF" w:rsidRDefault="004D5587" w:rsidP="00732486">
      <w:pPr>
        <w:pStyle w:val="Endnote-Bullet-L1"/>
        <w:spacing w:after="0"/>
        <w:rPr>
          <w:rFonts w:ascii="Lato" w:hAnsi="Lato"/>
          <w:sz w:val="16"/>
          <w:szCs w:val="16"/>
        </w:rPr>
      </w:pPr>
      <w:r w:rsidRPr="008953EF">
        <w:rPr>
          <w:rFonts w:ascii="Lato" w:hAnsi="Lato" w:cstheme="minorHAnsi"/>
          <w:color w:val="000000"/>
          <w:sz w:val="16"/>
          <w:szCs w:val="16"/>
          <w:lang w:val="fr-CA"/>
        </w:rPr>
        <w:t>Vérifiez la présence de bouchons de cérumen</w:t>
      </w:r>
      <w:r w:rsidR="00766591" w:rsidRPr="008953EF">
        <w:rPr>
          <w:rFonts w:ascii="Lato" w:hAnsi="Lato"/>
          <w:sz w:val="16"/>
          <w:szCs w:val="16"/>
        </w:rPr>
        <w:t>.</w:t>
      </w:r>
    </w:p>
    <w:p w14:paraId="420B6E1B" w14:textId="2B13DB57" w:rsidR="00766591" w:rsidRPr="008953EF" w:rsidRDefault="004D5587" w:rsidP="00732486">
      <w:pPr>
        <w:pStyle w:val="Endnote-Bullet-L1"/>
        <w:spacing w:after="0"/>
        <w:rPr>
          <w:rFonts w:ascii="Lato" w:hAnsi="Lato"/>
          <w:sz w:val="16"/>
          <w:szCs w:val="16"/>
        </w:rPr>
      </w:pPr>
      <w:r w:rsidRPr="008953EF">
        <w:rPr>
          <w:rFonts w:ascii="Lato" w:hAnsi="Lato" w:cstheme="minorHAnsi"/>
          <w:color w:val="000000"/>
          <w:sz w:val="16"/>
          <w:szCs w:val="16"/>
          <w:lang w:val="fr-CA"/>
        </w:rPr>
        <w:t>Évaluez l'audition chaque année et lorsque des symptômes ou des signes de troubles auditifs sont observés, y compris des changements de comportement et de fonctionnement adaptatif</w:t>
      </w:r>
      <w:r w:rsidR="00766591" w:rsidRPr="008953EF">
        <w:rPr>
          <w:rFonts w:ascii="Lato" w:hAnsi="Lato"/>
          <w:sz w:val="16"/>
          <w:szCs w:val="16"/>
        </w:rPr>
        <w:t xml:space="preserve">. </w:t>
      </w:r>
    </w:p>
    <w:p w14:paraId="51EBD01E" w14:textId="01FDF964" w:rsidR="00766591" w:rsidRPr="008953EF" w:rsidRDefault="004D5587" w:rsidP="0069631F">
      <w:pPr>
        <w:pStyle w:val="Endnote-Bullet-L1"/>
        <w:spacing w:after="0"/>
        <w:rPr>
          <w:rFonts w:ascii="Lato" w:hAnsi="Lato"/>
          <w:sz w:val="16"/>
          <w:szCs w:val="16"/>
        </w:rPr>
      </w:pPr>
      <w:r w:rsidRPr="008953EF">
        <w:rPr>
          <w:rFonts w:ascii="Lato" w:hAnsi="Lato" w:cstheme="minorHAnsi"/>
          <w:color w:val="000000"/>
          <w:sz w:val="16"/>
          <w:szCs w:val="16"/>
          <w:lang w:val="fr-CA"/>
        </w:rPr>
        <w:t>Référez le patient vers des services en audiologie si le dépistage l’indique ou tous les 5 ans après l’âge de 45 ans pour une perte auditive liée à l’âge</w:t>
      </w:r>
      <w:r w:rsidR="00766591" w:rsidRPr="008953EF">
        <w:rPr>
          <w:rFonts w:ascii="Lato" w:hAnsi="Lato"/>
          <w:sz w:val="16"/>
          <w:szCs w:val="16"/>
        </w:rPr>
        <w:t>.</w:t>
      </w:r>
    </w:p>
    <w:p w14:paraId="5E9BF27A" w14:textId="6E99DB97" w:rsidR="00766591" w:rsidRPr="008953EF" w:rsidRDefault="004D5587" w:rsidP="00EA151E">
      <w:pPr>
        <w:pStyle w:val="Endnote-Context"/>
        <w:rPr>
          <w:rFonts w:ascii="Lato" w:hAnsi="Lato"/>
          <w:sz w:val="16"/>
          <w:szCs w:val="16"/>
        </w:rPr>
      </w:pPr>
      <w:r w:rsidRPr="008953EF">
        <w:rPr>
          <w:rFonts w:ascii="Lato" w:hAnsi="Lato" w:cstheme="minorHAnsi"/>
          <w:color w:val="000000"/>
          <w:sz w:val="16"/>
          <w:szCs w:val="16"/>
          <w:lang w:val="fr-CA"/>
        </w:rPr>
        <w:t>Les bouchons de cérumen sont plus fréquents chez les adultes ayant des DID que dans la population générale</w:t>
      </w:r>
      <w:r w:rsidR="00766591" w:rsidRPr="008953EF">
        <w:rPr>
          <w:rFonts w:ascii="Lato" w:hAnsi="Lato"/>
          <w:sz w:val="16"/>
          <w:szCs w:val="16"/>
        </w:rPr>
        <w:t>.</w:t>
      </w:r>
    </w:p>
    <w:p w14:paraId="1FB21B86" w14:textId="43B8B5EF" w:rsidR="00766591" w:rsidRPr="008953EF" w:rsidRDefault="004D5587" w:rsidP="00EA151E">
      <w:pPr>
        <w:pStyle w:val="Endnote-Context"/>
        <w:rPr>
          <w:rFonts w:ascii="Lato" w:hAnsi="Lato"/>
          <w:sz w:val="16"/>
          <w:szCs w:val="16"/>
        </w:rPr>
      </w:pPr>
      <w:r w:rsidRPr="008953EF">
        <w:rPr>
          <w:rFonts w:ascii="Lato" w:hAnsi="Lato" w:cstheme="minorHAnsi"/>
          <w:color w:val="000000"/>
          <w:sz w:val="16"/>
          <w:szCs w:val="16"/>
          <w:lang w:val="fr-CA"/>
        </w:rPr>
        <w:t>Utilisez le test de la parole chuchotée pour les personnes qui sont habituellement capables de répéter une suite de mots. Adaptez votre approche pour répondre à des besoins particuliers (p. ex., temps de réflexion mentale requise plus long, troubles du comportement ou utilisation de méthodes de communication complémentaires</w:t>
      </w:r>
      <w:r w:rsidR="00766591" w:rsidRPr="008953EF">
        <w:rPr>
          <w:rFonts w:ascii="Lato" w:hAnsi="Lato"/>
          <w:sz w:val="16"/>
          <w:szCs w:val="16"/>
        </w:rPr>
        <w:t>).</w:t>
      </w:r>
    </w:p>
    <w:p w14:paraId="240EB9F8" w14:textId="17EAD941" w:rsidR="00766591" w:rsidRPr="008953EF" w:rsidRDefault="004D5587" w:rsidP="00EA151E">
      <w:pPr>
        <w:pStyle w:val="Endnote-Context"/>
        <w:rPr>
          <w:rFonts w:ascii="Lato" w:hAnsi="Lato"/>
          <w:sz w:val="16"/>
          <w:szCs w:val="16"/>
        </w:rPr>
      </w:pPr>
      <w:r w:rsidRPr="008953EF">
        <w:rPr>
          <w:rFonts w:ascii="Lato" w:hAnsi="Lato" w:cstheme="minorHAnsi"/>
          <w:color w:val="000000"/>
          <w:sz w:val="16"/>
          <w:szCs w:val="16"/>
          <w:lang w:val="fr-CA"/>
        </w:rPr>
        <w:t xml:space="preserve">L’audiométrie subjective chez les adultes ayant des déficiences </w:t>
      </w:r>
      <w:proofErr w:type="spellStart"/>
      <w:r w:rsidRPr="008953EF">
        <w:rPr>
          <w:rFonts w:ascii="Lato" w:hAnsi="Lato" w:cstheme="minorHAnsi"/>
          <w:color w:val="000000"/>
          <w:sz w:val="16"/>
          <w:szCs w:val="16"/>
          <w:lang w:val="fr-CA"/>
        </w:rPr>
        <w:t>intellectuellespourrait</w:t>
      </w:r>
      <w:proofErr w:type="spellEnd"/>
      <w:r w:rsidRPr="008953EF">
        <w:rPr>
          <w:rFonts w:ascii="Lato" w:hAnsi="Lato" w:cstheme="minorHAnsi"/>
          <w:color w:val="000000"/>
          <w:sz w:val="16"/>
          <w:szCs w:val="16"/>
          <w:lang w:val="fr-CA"/>
        </w:rPr>
        <w:t xml:space="preserve"> nécessiter l’intervention d’audiologistes expérimentés et spécialement formés </w:t>
      </w:r>
      <w:proofErr w:type="gramStart"/>
      <w:r w:rsidRPr="008953EF">
        <w:rPr>
          <w:rFonts w:ascii="Lato" w:hAnsi="Lato" w:cstheme="minorHAnsi"/>
          <w:color w:val="000000"/>
          <w:sz w:val="16"/>
          <w:szCs w:val="16"/>
          <w:lang w:val="fr-CA"/>
        </w:rPr>
        <w:t>ou  d’orthophonistes</w:t>
      </w:r>
      <w:proofErr w:type="gramEnd"/>
      <w:r w:rsidR="00766591" w:rsidRPr="008953EF">
        <w:rPr>
          <w:rFonts w:ascii="Lato" w:hAnsi="Lato"/>
          <w:sz w:val="16"/>
          <w:szCs w:val="16"/>
        </w:rPr>
        <w:t>.</w:t>
      </w:r>
    </w:p>
  </w:endnote>
  <w:endnote w:id="39">
    <w:p w14:paraId="7B0267E9" w14:textId="26CE9755" w:rsidR="00766591" w:rsidRDefault="00766591" w:rsidP="0069631F">
      <w:pPr>
        <w:pStyle w:val="Endnote-H4"/>
        <w:spacing w:after="0"/>
      </w:pPr>
      <w:r w:rsidRPr="00EA151E">
        <w:rPr>
          <w:rStyle w:val="EndnoteTextChar"/>
          <w:rFonts w:ascii="Lato Black" w:hAnsi="Lato Black"/>
          <w:vertAlign w:val="superscript"/>
        </w:rPr>
        <w:endnoteRef/>
      </w:r>
      <w:r w:rsidRPr="00EA151E">
        <w:rPr>
          <w:vertAlign w:val="superscript"/>
        </w:rPr>
        <w:t xml:space="preserve"> </w:t>
      </w:r>
      <w:r w:rsidR="004D5587">
        <w:rPr>
          <w:rFonts w:cstheme="minorHAnsi"/>
          <w:color w:val="000000"/>
        </w:rPr>
        <w:t>Dents</w:t>
      </w:r>
    </w:p>
    <w:p w14:paraId="26594D02" w14:textId="523B733F" w:rsidR="00766591" w:rsidRPr="008953EF" w:rsidRDefault="004D5587" w:rsidP="00732486">
      <w:pPr>
        <w:pStyle w:val="Endnote-Bullet-L1"/>
        <w:spacing w:after="0"/>
        <w:rPr>
          <w:rFonts w:ascii="Lato" w:hAnsi="Lato"/>
          <w:sz w:val="16"/>
          <w:szCs w:val="16"/>
        </w:rPr>
      </w:pPr>
      <w:r w:rsidRPr="008953EF">
        <w:rPr>
          <w:rFonts w:ascii="Lato" w:hAnsi="Lato" w:cstheme="minorHAnsi"/>
          <w:color w:val="000000"/>
          <w:sz w:val="16"/>
          <w:szCs w:val="16"/>
          <w:lang w:val="fr-CA"/>
        </w:rPr>
        <w:t>Inspectez la bouche et les dents</w:t>
      </w:r>
      <w:r w:rsidR="00766591" w:rsidRPr="008953EF">
        <w:rPr>
          <w:rFonts w:ascii="Lato" w:hAnsi="Lato"/>
          <w:sz w:val="16"/>
          <w:szCs w:val="16"/>
        </w:rPr>
        <w:t>.</w:t>
      </w:r>
    </w:p>
    <w:p w14:paraId="4AEC06D7" w14:textId="02B9D8FD" w:rsidR="00766591" w:rsidRPr="008953EF" w:rsidRDefault="004D5587" w:rsidP="0069631F">
      <w:pPr>
        <w:pStyle w:val="Endnote-Bullet-L1"/>
        <w:spacing w:after="0"/>
        <w:rPr>
          <w:rFonts w:ascii="Lato" w:hAnsi="Lato"/>
          <w:sz w:val="16"/>
          <w:szCs w:val="16"/>
        </w:rPr>
      </w:pPr>
      <w:r w:rsidRPr="008953EF">
        <w:rPr>
          <w:rFonts w:ascii="Lato" w:hAnsi="Lato"/>
          <w:sz w:val="16"/>
          <w:szCs w:val="16"/>
          <w:lang w:val="fr-CA"/>
        </w:rPr>
        <w:t xml:space="preserve">Lorsque des érosions dentaires sont détectées, vérifiez la présence de </w:t>
      </w:r>
      <w:r w:rsidRPr="008953EF">
        <w:rPr>
          <w:rFonts w:ascii="Lato" w:hAnsi="Lato" w:cstheme="minorHAnsi"/>
          <w:color w:val="000000"/>
          <w:sz w:val="16"/>
          <w:szCs w:val="16"/>
          <w:lang w:val="fr-CA"/>
        </w:rPr>
        <w:t xml:space="preserve">reflux </w:t>
      </w:r>
      <w:proofErr w:type="spellStart"/>
      <w:r w:rsidRPr="008953EF">
        <w:rPr>
          <w:rFonts w:ascii="Lato" w:hAnsi="Lato" w:cstheme="minorHAnsi"/>
          <w:color w:val="000000"/>
          <w:sz w:val="16"/>
          <w:szCs w:val="16"/>
          <w:lang w:val="fr-CA"/>
        </w:rPr>
        <w:t>gastro-oesophagien</w:t>
      </w:r>
      <w:proofErr w:type="spellEnd"/>
      <w:r w:rsidR="00766591" w:rsidRPr="008953EF">
        <w:rPr>
          <w:rFonts w:ascii="Lato" w:hAnsi="Lato"/>
          <w:sz w:val="16"/>
          <w:szCs w:val="16"/>
        </w:rPr>
        <w:t>.</w:t>
      </w:r>
    </w:p>
    <w:p w14:paraId="1317CB50" w14:textId="60EC858D" w:rsidR="00766591" w:rsidRPr="008953EF" w:rsidRDefault="004D5587" w:rsidP="00EA151E">
      <w:pPr>
        <w:pStyle w:val="Endnote-Context"/>
        <w:rPr>
          <w:rFonts w:ascii="Lato" w:hAnsi="Lato"/>
          <w:sz w:val="16"/>
          <w:szCs w:val="16"/>
        </w:rPr>
      </w:pPr>
      <w:r w:rsidRPr="008953EF">
        <w:rPr>
          <w:rFonts w:ascii="Lato" w:hAnsi="Lato" w:cstheme="minorHAnsi"/>
          <w:color w:val="000000"/>
          <w:sz w:val="16"/>
          <w:szCs w:val="16"/>
          <w:lang w:val="fr-CA"/>
        </w:rPr>
        <w:t xml:space="preserve">On compte parmi les causes d’une mauvaise santé buccale : difficulté à prendre soin de ses dents (p. ex. brossage des dents), obstacles à se rendre régulièrement chez un dentiste, carie dentaire causée par des médicaments sucrés, modification de l’écoulement salivaire causée par certaines maladies ou des médicaments </w:t>
      </w:r>
      <w:proofErr w:type="spellStart"/>
      <w:r w:rsidRPr="008953EF">
        <w:rPr>
          <w:rFonts w:ascii="Lato" w:hAnsi="Lato" w:cstheme="minorHAnsi"/>
          <w:color w:val="000000"/>
          <w:sz w:val="16"/>
          <w:szCs w:val="16"/>
          <w:lang w:val="fr-CA"/>
        </w:rPr>
        <w:t>psychotropiques</w:t>
      </w:r>
      <w:proofErr w:type="spellEnd"/>
      <w:r w:rsidRPr="008953EF">
        <w:rPr>
          <w:rFonts w:ascii="Lato" w:hAnsi="Lato" w:cstheme="minorHAnsi"/>
          <w:color w:val="000000"/>
          <w:sz w:val="16"/>
          <w:szCs w:val="16"/>
          <w:lang w:val="fr-CA"/>
        </w:rPr>
        <w:t xml:space="preserve">, fréquence accrue de bruxisme avec certaines maladies (p. ex., paralysie cérébrale), croissance excessive de tissus gingival causée par la médication (p. ex., </w:t>
      </w:r>
      <w:proofErr w:type="spellStart"/>
      <w:r w:rsidRPr="008953EF">
        <w:rPr>
          <w:rFonts w:ascii="Lato" w:hAnsi="Lato" w:cstheme="minorHAnsi"/>
          <w:color w:val="000000"/>
          <w:sz w:val="16"/>
          <w:szCs w:val="16"/>
          <w:lang w:val="fr-CA"/>
        </w:rPr>
        <w:t>Dilantin</w:t>
      </w:r>
      <w:proofErr w:type="spellEnd"/>
      <w:r w:rsidRPr="008953EF">
        <w:rPr>
          <w:rFonts w:ascii="Lato" w:hAnsi="Lato" w:cstheme="minorHAnsi"/>
          <w:color w:val="000000"/>
          <w:sz w:val="16"/>
          <w:szCs w:val="16"/>
          <w:lang w:val="fr-CA"/>
        </w:rPr>
        <w:t xml:space="preserve">), malformations </w:t>
      </w:r>
      <w:proofErr w:type="spellStart"/>
      <w:r w:rsidRPr="008953EF">
        <w:rPr>
          <w:rFonts w:ascii="Lato" w:hAnsi="Lato" w:cstheme="minorHAnsi"/>
          <w:color w:val="000000"/>
          <w:sz w:val="16"/>
          <w:szCs w:val="16"/>
          <w:lang w:val="fr-CA"/>
        </w:rPr>
        <w:t>orofaciales</w:t>
      </w:r>
      <w:proofErr w:type="spellEnd"/>
      <w:r w:rsidR="00DC64BA" w:rsidRPr="008953EF">
        <w:rPr>
          <w:rFonts w:ascii="Lato" w:hAnsi="Lato"/>
          <w:sz w:val="16"/>
          <w:szCs w:val="16"/>
        </w:rPr>
        <w:t>.</w:t>
      </w:r>
    </w:p>
  </w:endnote>
  <w:endnote w:id="40">
    <w:p w14:paraId="1C579AAE" w14:textId="1CDC0C93" w:rsidR="00766591" w:rsidRDefault="00766591" w:rsidP="0069631F">
      <w:pPr>
        <w:pStyle w:val="Endnote-H4"/>
        <w:spacing w:after="0"/>
      </w:pPr>
      <w:r w:rsidRPr="00EA151E">
        <w:rPr>
          <w:rStyle w:val="EndnoteTextChar"/>
          <w:rFonts w:ascii="Lato Black" w:hAnsi="Lato Black"/>
          <w:vertAlign w:val="superscript"/>
        </w:rPr>
        <w:endnoteRef/>
      </w:r>
      <w:r>
        <w:t xml:space="preserve"> </w:t>
      </w:r>
      <w:proofErr w:type="spellStart"/>
      <w:r w:rsidR="004D5587">
        <w:rPr>
          <w:rFonts w:cstheme="minorHAnsi"/>
          <w:color w:val="000000"/>
        </w:rPr>
        <w:t>Cou</w:t>
      </w:r>
      <w:proofErr w:type="spellEnd"/>
      <w:r w:rsidR="004D5587">
        <w:rPr>
          <w:rFonts w:cstheme="minorHAnsi"/>
          <w:color w:val="000000"/>
        </w:rPr>
        <w:t xml:space="preserve">, </w:t>
      </w:r>
      <w:proofErr w:type="spellStart"/>
      <w:r w:rsidR="004D5587">
        <w:rPr>
          <w:rFonts w:cstheme="minorHAnsi"/>
          <w:color w:val="000000"/>
        </w:rPr>
        <w:t>glande</w:t>
      </w:r>
      <w:proofErr w:type="spellEnd"/>
      <w:r w:rsidR="004D5587">
        <w:rPr>
          <w:rFonts w:cstheme="minorHAnsi"/>
          <w:color w:val="000000"/>
        </w:rPr>
        <w:t xml:space="preserve"> </w:t>
      </w:r>
      <w:proofErr w:type="spellStart"/>
      <w:r w:rsidR="004D5587">
        <w:rPr>
          <w:rFonts w:cstheme="minorHAnsi"/>
          <w:color w:val="000000"/>
        </w:rPr>
        <w:t>thyroïde</w:t>
      </w:r>
      <w:proofErr w:type="spellEnd"/>
    </w:p>
    <w:p w14:paraId="67D5BD55" w14:textId="2843C7E8" w:rsidR="00766591" w:rsidRPr="008953EF" w:rsidRDefault="004D5587" w:rsidP="0069631F">
      <w:pPr>
        <w:pStyle w:val="Endnote-Bullet-L1"/>
        <w:spacing w:after="0"/>
        <w:rPr>
          <w:rFonts w:ascii="Lato" w:hAnsi="Lato"/>
          <w:sz w:val="16"/>
          <w:szCs w:val="16"/>
        </w:rPr>
      </w:pPr>
      <w:r w:rsidRPr="008953EF">
        <w:rPr>
          <w:rFonts w:ascii="Lato" w:hAnsi="Lato"/>
          <w:sz w:val="16"/>
          <w:szCs w:val="16"/>
          <w:lang w:val="fr-CA"/>
        </w:rPr>
        <w:t>Testez le niveau de TSH/T4 tous les ans si le patient présente un risque élevé</w:t>
      </w:r>
      <w:r w:rsidR="00127457" w:rsidRPr="008953EF">
        <w:rPr>
          <w:rFonts w:ascii="Lato" w:hAnsi="Lato"/>
          <w:sz w:val="16"/>
          <w:szCs w:val="16"/>
        </w:rPr>
        <w:t>.</w:t>
      </w:r>
      <w:r w:rsidR="00C615DE" w:rsidRPr="008953EF">
        <w:rPr>
          <w:rFonts w:ascii="Lato" w:hAnsi="Lato"/>
          <w:sz w:val="16"/>
          <w:szCs w:val="16"/>
        </w:rPr>
        <w:t xml:space="preserve"> </w:t>
      </w:r>
    </w:p>
    <w:p w14:paraId="1B2EC39D" w14:textId="6EF6DE99" w:rsidR="00766591" w:rsidRPr="008953EF" w:rsidRDefault="004D5587" w:rsidP="00C615DE">
      <w:pPr>
        <w:pStyle w:val="Endnote-Context"/>
        <w:rPr>
          <w:rFonts w:ascii="Lato" w:hAnsi="Lato"/>
          <w:sz w:val="16"/>
          <w:szCs w:val="16"/>
        </w:rPr>
      </w:pPr>
      <w:r w:rsidRPr="008953EF">
        <w:rPr>
          <w:rFonts w:ascii="Lato" w:hAnsi="Lato" w:cstheme="minorHAnsi"/>
          <w:color w:val="000000"/>
          <w:sz w:val="16"/>
          <w:szCs w:val="16"/>
          <w:lang w:val="fr-CA"/>
        </w:rPr>
        <w:t>Les troubles de la thyroïde sont plus fréquents chez les personnes ayant des DID</w:t>
      </w:r>
      <w:r w:rsidR="00766591" w:rsidRPr="008953EF">
        <w:rPr>
          <w:rFonts w:ascii="Lato" w:hAnsi="Lato"/>
          <w:sz w:val="16"/>
          <w:szCs w:val="16"/>
        </w:rPr>
        <w:t xml:space="preserve">. </w:t>
      </w:r>
      <w:r w:rsidRPr="008953EF">
        <w:rPr>
          <w:rFonts w:ascii="Lato" w:hAnsi="Lato" w:cstheme="minorHAnsi"/>
          <w:color w:val="000000"/>
          <w:sz w:val="16"/>
          <w:szCs w:val="16"/>
          <w:lang w:val="fr-CA"/>
        </w:rPr>
        <w:t>En plus des signes détectés lors des examens physiques, il est important de prescrire des analyses TSH/T4 chaque année si le patient est à risque (p. ex., syndrome de Down, ou s'il prend du lithium ou des médicaments antipsychotiques de deuxième génération), s'il présente des symptômes ou démontre des changements comportementaux inexpliqués</w:t>
      </w:r>
      <w:r w:rsidR="00DC64BA" w:rsidRPr="008953EF">
        <w:rPr>
          <w:rFonts w:ascii="Lato" w:hAnsi="Lato"/>
          <w:sz w:val="16"/>
          <w:szCs w:val="16"/>
        </w:rPr>
        <w:t>.</w:t>
      </w:r>
    </w:p>
  </w:endnote>
  <w:endnote w:id="41">
    <w:p w14:paraId="78379B02" w14:textId="7863C475" w:rsidR="00766591" w:rsidRDefault="00766591" w:rsidP="0069631F">
      <w:pPr>
        <w:pStyle w:val="Endnote-H4"/>
        <w:spacing w:after="0"/>
      </w:pPr>
      <w:r w:rsidRPr="00EA151E">
        <w:rPr>
          <w:rStyle w:val="EndnoteTextChar"/>
          <w:rFonts w:ascii="Lato Black" w:hAnsi="Lato Black"/>
          <w:vertAlign w:val="superscript"/>
        </w:rPr>
        <w:endnoteRef/>
      </w:r>
      <w:r>
        <w:t xml:space="preserve"> </w:t>
      </w:r>
      <w:proofErr w:type="spellStart"/>
      <w:r w:rsidR="004D5587">
        <w:rPr>
          <w:rFonts w:cstheme="minorHAnsi"/>
          <w:color w:val="000000"/>
        </w:rPr>
        <w:t>Respiratoire</w:t>
      </w:r>
      <w:proofErr w:type="spellEnd"/>
    </w:p>
    <w:p w14:paraId="08428514" w14:textId="1061E606" w:rsidR="00766591" w:rsidRPr="008953EF" w:rsidRDefault="004D5587" w:rsidP="0069631F">
      <w:pPr>
        <w:pStyle w:val="Endnote-Bullet-L1"/>
        <w:spacing w:after="0"/>
        <w:rPr>
          <w:rFonts w:ascii="Lato" w:hAnsi="Lato"/>
          <w:sz w:val="16"/>
          <w:szCs w:val="16"/>
        </w:rPr>
      </w:pPr>
      <w:r w:rsidRPr="008953EF">
        <w:rPr>
          <w:rFonts w:ascii="Lato" w:hAnsi="Lato" w:cstheme="minorHAnsi"/>
          <w:color w:val="000000"/>
          <w:sz w:val="16"/>
          <w:szCs w:val="16"/>
          <w:lang w:val="fr-CA"/>
        </w:rPr>
        <w:t xml:space="preserve">Pour les patients en fauteuil roulant, demandez l’aide des </w:t>
      </w:r>
      <w:proofErr w:type="spellStart"/>
      <w:r w:rsidRPr="008953EF">
        <w:rPr>
          <w:rFonts w:ascii="Lato" w:hAnsi="Lato" w:cstheme="minorHAnsi"/>
          <w:color w:val="000000"/>
          <w:sz w:val="16"/>
          <w:szCs w:val="16"/>
          <w:lang w:val="fr-CA"/>
        </w:rPr>
        <w:t>aidantspour</w:t>
      </w:r>
      <w:proofErr w:type="spellEnd"/>
      <w:r w:rsidRPr="008953EF">
        <w:rPr>
          <w:rFonts w:ascii="Lato" w:hAnsi="Lato" w:cstheme="minorHAnsi"/>
          <w:color w:val="000000"/>
          <w:sz w:val="16"/>
          <w:szCs w:val="16"/>
          <w:lang w:val="fr-CA"/>
        </w:rPr>
        <w:t xml:space="preserve"> enlever les sangles et les plateaux et pencher le patient vers l’avant pour faciliter l’auscultation</w:t>
      </w:r>
      <w:r w:rsidR="00766591" w:rsidRPr="008953EF">
        <w:rPr>
          <w:rFonts w:ascii="Lato" w:hAnsi="Lato"/>
          <w:sz w:val="16"/>
          <w:szCs w:val="16"/>
        </w:rPr>
        <w:t>.</w:t>
      </w:r>
    </w:p>
    <w:p w14:paraId="7AF812B9" w14:textId="5C576245" w:rsidR="00766591" w:rsidRPr="008953EF" w:rsidRDefault="004D5587" w:rsidP="0069631F">
      <w:pPr>
        <w:pStyle w:val="Endnote-Bullet-L1"/>
        <w:spacing w:after="0"/>
        <w:rPr>
          <w:rFonts w:ascii="Lato" w:hAnsi="Lato"/>
          <w:sz w:val="16"/>
          <w:szCs w:val="16"/>
        </w:rPr>
      </w:pPr>
      <w:r w:rsidRPr="008953EF">
        <w:rPr>
          <w:rFonts w:ascii="Lato" w:hAnsi="Lato"/>
          <w:sz w:val="16"/>
          <w:szCs w:val="16"/>
          <w:lang w:val="fr-CA"/>
        </w:rPr>
        <w:t>Observer la déglutition</w:t>
      </w:r>
      <w:r w:rsidR="00766591" w:rsidRPr="008953EF">
        <w:rPr>
          <w:rFonts w:ascii="Lato" w:hAnsi="Lato"/>
          <w:sz w:val="16"/>
          <w:szCs w:val="16"/>
        </w:rPr>
        <w:t>.</w:t>
      </w:r>
    </w:p>
    <w:p w14:paraId="25177D57" w14:textId="4824460E" w:rsidR="00766591" w:rsidRPr="008953EF" w:rsidRDefault="004D5587" w:rsidP="00EA151E">
      <w:pPr>
        <w:pStyle w:val="Endnote-Context"/>
        <w:rPr>
          <w:rFonts w:ascii="Lato" w:hAnsi="Lato"/>
          <w:sz w:val="16"/>
          <w:szCs w:val="16"/>
        </w:rPr>
      </w:pPr>
      <w:r w:rsidRPr="008953EF">
        <w:rPr>
          <w:rFonts w:ascii="Lato" w:hAnsi="Lato" w:cstheme="minorHAnsi"/>
          <w:color w:val="000000"/>
          <w:sz w:val="16"/>
          <w:szCs w:val="16"/>
          <w:lang w:val="fr-CA"/>
        </w:rPr>
        <w:t>Les maladies respiratoires (p. ex., l'asthme, la maladie pulmonaire obstructive chronique, l'aspiration menant à des infections pulmonaires) sont plus fréquentes chez les adultes ayant des DID; elles peuvent être détectées lors des examens physiques</w:t>
      </w:r>
      <w:r w:rsidR="00766591" w:rsidRPr="008953EF">
        <w:rPr>
          <w:rFonts w:ascii="Lato" w:hAnsi="Lato"/>
          <w:sz w:val="16"/>
          <w:szCs w:val="16"/>
        </w:rPr>
        <w:t>.</w:t>
      </w:r>
    </w:p>
    <w:p w14:paraId="3757D999" w14:textId="202FC2B8" w:rsidR="00766591" w:rsidRPr="008953EF" w:rsidRDefault="004D5587" w:rsidP="00EA151E">
      <w:pPr>
        <w:pStyle w:val="Endnote-Context"/>
        <w:rPr>
          <w:rFonts w:ascii="Lato" w:hAnsi="Lato"/>
          <w:sz w:val="16"/>
          <w:szCs w:val="16"/>
        </w:rPr>
      </w:pPr>
      <w:r w:rsidRPr="008953EF">
        <w:rPr>
          <w:rFonts w:ascii="Lato" w:hAnsi="Lato" w:cstheme="minorHAnsi"/>
          <w:color w:val="000000"/>
          <w:sz w:val="16"/>
          <w:szCs w:val="16"/>
          <w:lang w:val="fr-CA"/>
        </w:rPr>
        <w:t>Référez le patient à un orthophoniste afin d'évaluer la déglutition lorsque des symptômes de problèmes de déglutition sont observés</w:t>
      </w:r>
      <w:r w:rsidR="00766591" w:rsidRPr="008953EF">
        <w:rPr>
          <w:rFonts w:ascii="Lato" w:hAnsi="Lato"/>
          <w:sz w:val="16"/>
          <w:szCs w:val="16"/>
        </w:rPr>
        <w:t>.</w:t>
      </w:r>
    </w:p>
  </w:endnote>
  <w:endnote w:id="42">
    <w:p w14:paraId="54F876CA" w14:textId="1386FABB" w:rsidR="00766591" w:rsidRDefault="00766591" w:rsidP="0069631F">
      <w:pPr>
        <w:pStyle w:val="Endnote-H4"/>
        <w:spacing w:after="0"/>
      </w:pPr>
      <w:r w:rsidRPr="00EA151E">
        <w:rPr>
          <w:rStyle w:val="EndnoteTextChar"/>
          <w:rFonts w:ascii="Lato Black" w:hAnsi="Lato Black"/>
          <w:vertAlign w:val="superscript"/>
        </w:rPr>
        <w:endnoteRef/>
      </w:r>
      <w:r>
        <w:t xml:space="preserve"> </w:t>
      </w:r>
      <w:proofErr w:type="spellStart"/>
      <w:r w:rsidR="004D5587">
        <w:rPr>
          <w:rFonts w:cstheme="minorHAnsi"/>
          <w:color w:val="000000"/>
        </w:rPr>
        <w:t>Cardiovasculaire</w:t>
      </w:r>
      <w:proofErr w:type="spellEnd"/>
    </w:p>
    <w:p w14:paraId="5AF21173" w14:textId="7E3F67C1" w:rsidR="00766591" w:rsidRPr="008953EF" w:rsidRDefault="004D5587" w:rsidP="0069631F">
      <w:pPr>
        <w:pStyle w:val="Endnote-Bullet-L1"/>
        <w:spacing w:after="0"/>
        <w:rPr>
          <w:rFonts w:ascii="Lato" w:hAnsi="Lato"/>
          <w:sz w:val="16"/>
          <w:szCs w:val="16"/>
        </w:rPr>
      </w:pPr>
      <w:r w:rsidRPr="008953EF">
        <w:rPr>
          <w:rFonts w:ascii="Lato" w:hAnsi="Lato" w:cstheme="minorHAnsi"/>
          <w:color w:val="000000"/>
          <w:sz w:val="16"/>
          <w:szCs w:val="16"/>
          <w:lang w:val="fr-CA"/>
        </w:rPr>
        <w:t>La prise de tension artérielle peut être difficile pour les patients anxieux ayant des DID. Demandez aux aidants de pratiquer la prise de tension artérielle à la maison</w:t>
      </w:r>
      <w:r w:rsidR="00766591" w:rsidRPr="008953EF">
        <w:rPr>
          <w:rFonts w:ascii="Lato" w:hAnsi="Lato"/>
          <w:sz w:val="16"/>
          <w:szCs w:val="16"/>
        </w:rPr>
        <w:t xml:space="preserve">. </w:t>
      </w:r>
    </w:p>
    <w:p w14:paraId="13946277" w14:textId="262D42A3" w:rsidR="00766591" w:rsidRPr="008953EF" w:rsidRDefault="004D5587" w:rsidP="0069631F">
      <w:pPr>
        <w:pStyle w:val="Endnote-Bullet-L1"/>
        <w:spacing w:after="0"/>
        <w:rPr>
          <w:rFonts w:ascii="Lato" w:hAnsi="Lato"/>
          <w:sz w:val="16"/>
          <w:szCs w:val="16"/>
        </w:rPr>
      </w:pPr>
      <w:r w:rsidRPr="008953EF">
        <w:rPr>
          <w:rFonts w:ascii="Lato" w:hAnsi="Lato" w:cstheme="minorHAnsi"/>
          <w:color w:val="000000"/>
          <w:sz w:val="16"/>
          <w:szCs w:val="16"/>
          <w:lang w:val="fr-CA"/>
        </w:rPr>
        <w:t>Évaluez les signes d'une défaillance et d'une décompensation cardiaque</w:t>
      </w:r>
      <w:r w:rsidR="00766591" w:rsidRPr="008953EF">
        <w:rPr>
          <w:rFonts w:ascii="Lato" w:hAnsi="Lato"/>
          <w:sz w:val="16"/>
          <w:szCs w:val="16"/>
        </w:rPr>
        <w:t xml:space="preserve">. </w:t>
      </w:r>
    </w:p>
    <w:p w14:paraId="36F1CF84" w14:textId="70CB6945" w:rsidR="00766591" w:rsidRDefault="004D5587" w:rsidP="00EA151E">
      <w:pPr>
        <w:pStyle w:val="Endnote-Context"/>
      </w:pPr>
      <w:r w:rsidRPr="008953EF">
        <w:rPr>
          <w:rFonts w:ascii="Lato" w:hAnsi="Lato" w:cstheme="minorHAnsi"/>
          <w:color w:val="000000"/>
          <w:sz w:val="16"/>
          <w:szCs w:val="16"/>
          <w:lang w:val="fr-CA"/>
        </w:rPr>
        <w:t>Les problèmes cardiaques sont fréquents chez les adultes ayant des DID</w:t>
      </w:r>
      <w:r w:rsidR="00766591" w:rsidRPr="008953EF">
        <w:rPr>
          <w:rFonts w:ascii="Lato" w:hAnsi="Lato"/>
          <w:sz w:val="16"/>
          <w:szCs w:val="16"/>
        </w:rPr>
        <w:t xml:space="preserve">. </w:t>
      </w:r>
      <w:r w:rsidR="00E22804" w:rsidRPr="008953EF">
        <w:rPr>
          <w:rFonts w:ascii="Lato" w:hAnsi="Lato" w:cstheme="minorHAnsi"/>
          <w:color w:val="000000"/>
          <w:sz w:val="16"/>
          <w:szCs w:val="16"/>
          <w:lang w:val="fr-CA"/>
        </w:rPr>
        <w:t>En cas de détection, il faut envisager un aiguillage vers la cardiologie ou, si la cause est une cardiopathie congénitale, vers une clinique de cardiopathie congénitale pour adultes.</w:t>
      </w:r>
      <w:r w:rsidR="00E22804" w:rsidRPr="008953EF">
        <w:rPr>
          <w:rFonts w:ascii="Lato" w:hAnsi="Lato"/>
          <w:sz w:val="16"/>
          <w:szCs w:val="16"/>
          <w:lang w:val="fr-CA"/>
        </w:rPr>
        <w:t xml:space="preserve"> </w:t>
      </w:r>
      <w:r w:rsidR="00E22804" w:rsidRPr="008953EF">
        <w:rPr>
          <w:rFonts w:ascii="Lato" w:hAnsi="Lato" w:cstheme="minorHAnsi"/>
          <w:color w:val="000000"/>
          <w:sz w:val="16"/>
          <w:szCs w:val="16"/>
          <w:lang w:val="fr-CA"/>
        </w:rPr>
        <w:t xml:space="preserve">Contactez la Canadian </w:t>
      </w:r>
      <w:proofErr w:type="spellStart"/>
      <w:r w:rsidR="00E22804" w:rsidRPr="008953EF">
        <w:rPr>
          <w:rFonts w:ascii="Lato" w:hAnsi="Lato" w:cstheme="minorHAnsi"/>
          <w:color w:val="000000"/>
          <w:sz w:val="16"/>
          <w:szCs w:val="16"/>
          <w:lang w:val="fr-CA"/>
        </w:rPr>
        <w:t>Congenital</w:t>
      </w:r>
      <w:proofErr w:type="spellEnd"/>
      <w:r w:rsidR="00E22804" w:rsidRPr="008953EF">
        <w:rPr>
          <w:rFonts w:ascii="Lato" w:hAnsi="Lato" w:cstheme="minorHAnsi"/>
          <w:color w:val="000000"/>
          <w:sz w:val="16"/>
          <w:szCs w:val="16"/>
          <w:lang w:val="fr-CA"/>
        </w:rPr>
        <w:t xml:space="preserve"> </w:t>
      </w:r>
      <w:proofErr w:type="spellStart"/>
      <w:r w:rsidR="00E22804" w:rsidRPr="008953EF">
        <w:rPr>
          <w:rFonts w:ascii="Lato" w:hAnsi="Lato" w:cstheme="minorHAnsi"/>
          <w:color w:val="000000"/>
          <w:sz w:val="16"/>
          <w:szCs w:val="16"/>
          <w:lang w:val="fr-CA"/>
        </w:rPr>
        <w:t>Heart</w:t>
      </w:r>
      <w:proofErr w:type="spellEnd"/>
      <w:r w:rsidR="00E22804" w:rsidRPr="008953EF">
        <w:rPr>
          <w:rFonts w:ascii="Lato" w:hAnsi="Lato" w:cstheme="minorHAnsi"/>
          <w:color w:val="000000"/>
          <w:sz w:val="16"/>
          <w:szCs w:val="16"/>
          <w:lang w:val="fr-CA"/>
        </w:rPr>
        <w:t xml:space="preserve"> Alliance (l'Alliance canadienne pour les cardiopathies </w:t>
      </w:r>
      <w:proofErr w:type="gramStart"/>
      <w:r w:rsidR="00E22804" w:rsidRPr="008953EF">
        <w:rPr>
          <w:rFonts w:ascii="Lato" w:hAnsi="Lato" w:cstheme="minorHAnsi"/>
          <w:color w:val="000000"/>
          <w:sz w:val="16"/>
          <w:szCs w:val="16"/>
          <w:lang w:val="fr-CA"/>
        </w:rPr>
        <w:t>congénitales)  pour</w:t>
      </w:r>
      <w:proofErr w:type="gramEnd"/>
      <w:r w:rsidR="00E22804" w:rsidRPr="008953EF">
        <w:rPr>
          <w:rFonts w:ascii="Lato" w:hAnsi="Lato" w:cstheme="minorHAnsi"/>
          <w:color w:val="000000"/>
          <w:sz w:val="16"/>
          <w:szCs w:val="16"/>
          <w:lang w:val="fr-CA"/>
        </w:rPr>
        <w:t xml:space="preserve"> trouver une clinique</w:t>
      </w:r>
      <w:r w:rsidR="00766591" w:rsidRPr="008953EF">
        <w:rPr>
          <w:rFonts w:ascii="Lato" w:hAnsi="Lato"/>
          <w:sz w:val="16"/>
          <w:szCs w:val="16"/>
        </w:rPr>
        <w:t>.</w:t>
      </w:r>
    </w:p>
  </w:endnote>
  <w:endnote w:id="43">
    <w:p w14:paraId="2ACDF5CE" w14:textId="004E07BC" w:rsidR="00766591" w:rsidRDefault="00766591" w:rsidP="0069631F">
      <w:pPr>
        <w:pStyle w:val="Endnote-H4"/>
        <w:spacing w:after="0"/>
      </w:pPr>
      <w:r w:rsidRPr="00EA151E">
        <w:rPr>
          <w:rStyle w:val="Endnote-Superscript"/>
          <w:rFonts w:ascii="Lato Black" w:hAnsi="Lato Black"/>
        </w:rPr>
        <w:endnoteRef/>
      </w:r>
      <w:r>
        <w:t xml:space="preserve"> </w:t>
      </w:r>
      <w:proofErr w:type="spellStart"/>
      <w:r w:rsidR="00E22804">
        <w:rPr>
          <w:rFonts w:cstheme="minorHAnsi"/>
          <w:color w:val="000000"/>
        </w:rPr>
        <w:t>Appareil</w:t>
      </w:r>
      <w:proofErr w:type="spellEnd"/>
      <w:r w:rsidR="00E22804">
        <w:rPr>
          <w:rFonts w:cstheme="minorHAnsi"/>
          <w:color w:val="000000"/>
        </w:rPr>
        <w:t xml:space="preserve"> </w:t>
      </w:r>
      <w:proofErr w:type="spellStart"/>
      <w:r w:rsidR="00E22804">
        <w:rPr>
          <w:rFonts w:cstheme="minorHAnsi"/>
          <w:color w:val="000000"/>
        </w:rPr>
        <w:t>urogénital</w:t>
      </w:r>
      <w:proofErr w:type="spellEnd"/>
      <w:r w:rsidR="00E22804">
        <w:rPr>
          <w:rFonts w:cstheme="minorHAnsi"/>
          <w:color w:val="000000"/>
        </w:rPr>
        <w:t xml:space="preserve"> et </w:t>
      </w:r>
      <w:proofErr w:type="spellStart"/>
      <w:r w:rsidR="00E22804">
        <w:rPr>
          <w:rFonts w:cstheme="minorHAnsi"/>
          <w:color w:val="000000"/>
        </w:rPr>
        <w:t>gynécologique</w:t>
      </w:r>
      <w:proofErr w:type="spellEnd"/>
      <w:r>
        <w:t xml:space="preserve"> </w:t>
      </w:r>
    </w:p>
    <w:p w14:paraId="6C31108B" w14:textId="4035457F" w:rsidR="00766591" w:rsidRPr="007D3F78" w:rsidRDefault="00E22804" w:rsidP="00620310">
      <w:pPr>
        <w:pStyle w:val="Endnote-Context"/>
        <w:rPr>
          <w:rFonts w:ascii="Lato" w:hAnsi="Lato"/>
          <w:sz w:val="16"/>
          <w:szCs w:val="16"/>
        </w:rPr>
      </w:pPr>
      <w:r w:rsidRPr="007D3F78">
        <w:rPr>
          <w:rFonts w:ascii="Lato" w:hAnsi="Lato" w:cstheme="minorHAnsi"/>
          <w:color w:val="000000"/>
          <w:sz w:val="16"/>
          <w:szCs w:val="16"/>
          <w:lang w:val="fr-CA"/>
        </w:rPr>
        <w:t xml:space="preserve">Ces examens devraient </w:t>
      </w:r>
      <w:proofErr w:type="spellStart"/>
      <w:r w:rsidRPr="007D3F78">
        <w:rPr>
          <w:rFonts w:ascii="Lato" w:hAnsi="Lato" w:cstheme="minorHAnsi"/>
          <w:color w:val="000000"/>
          <w:sz w:val="16"/>
          <w:szCs w:val="16"/>
          <w:lang w:val="fr-CA"/>
        </w:rPr>
        <w:t>suivreune</w:t>
      </w:r>
      <w:proofErr w:type="spellEnd"/>
      <w:r w:rsidRPr="007D3F78">
        <w:rPr>
          <w:rFonts w:ascii="Lato" w:hAnsi="Lato" w:cstheme="minorHAnsi"/>
          <w:color w:val="000000"/>
          <w:sz w:val="16"/>
          <w:szCs w:val="16"/>
          <w:lang w:val="fr-CA"/>
        </w:rPr>
        <w:t xml:space="preserve"> approche qui tient compte des traumatismes. Considérez donner des brochures d'information faciles à lire aux patientes pour le </w:t>
      </w:r>
      <w:proofErr w:type="gramStart"/>
      <w:r w:rsidRPr="007D3F78">
        <w:rPr>
          <w:rFonts w:ascii="Lato" w:hAnsi="Lato" w:cstheme="minorHAnsi"/>
          <w:color w:val="000000"/>
          <w:sz w:val="16"/>
          <w:szCs w:val="16"/>
          <w:lang w:val="fr-CA"/>
        </w:rPr>
        <w:t>dépistage  du</w:t>
      </w:r>
      <w:proofErr w:type="gramEnd"/>
      <w:r w:rsidRPr="007D3F78">
        <w:rPr>
          <w:rFonts w:ascii="Lato" w:hAnsi="Lato" w:cstheme="minorHAnsi"/>
          <w:color w:val="000000"/>
          <w:sz w:val="16"/>
          <w:szCs w:val="16"/>
          <w:lang w:val="fr-CA"/>
        </w:rPr>
        <w:t xml:space="preserve"> col de l’utérus; voir liens ci-dessous. Réfléchissez aux avantages et aux inconvénients des examens des seins et des testicules chez les adultes souffrant de DID. Pour les patients qui ont été sexuellement actifs, inspecter le périnée et effectuer des tests de dépistage pour infections transmises sexuellement, conformément aux lignes directrices pour la population générale ; un spéculum vaginal n'est pas nécessaire</w:t>
      </w:r>
      <w:r w:rsidR="00766591" w:rsidRPr="007D3F78">
        <w:rPr>
          <w:rFonts w:ascii="Lato" w:hAnsi="Lato"/>
          <w:sz w:val="16"/>
          <w:szCs w:val="16"/>
        </w:rPr>
        <w:t>.</w:t>
      </w:r>
    </w:p>
    <w:p w14:paraId="0A25FFEE" w14:textId="77777777" w:rsidR="00B71D77" w:rsidRDefault="00B71D77" w:rsidP="0069631F">
      <w:pPr>
        <w:pStyle w:val="Endnote-H5"/>
        <w:spacing w:after="0"/>
        <w:rPr>
          <w:rFonts w:ascii="Lato" w:hAnsi="Lato" w:cstheme="minorHAnsi"/>
          <w:color w:val="000000"/>
          <w:sz w:val="16"/>
          <w:szCs w:val="16"/>
          <w:lang w:val="fr-CA"/>
        </w:rPr>
      </w:pPr>
    </w:p>
    <w:p w14:paraId="6E2D59EE" w14:textId="77777777" w:rsidR="00B71D77" w:rsidRDefault="00B71D77" w:rsidP="0069631F">
      <w:pPr>
        <w:pStyle w:val="Endnote-H5"/>
        <w:spacing w:after="0"/>
        <w:rPr>
          <w:rFonts w:ascii="Lato" w:hAnsi="Lato" w:cstheme="minorHAnsi"/>
          <w:color w:val="000000"/>
          <w:sz w:val="16"/>
          <w:szCs w:val="16"/>
          <w:lang w:val="fr-CA"/>
        </w:rPr>
      </w:pPr>
    </w:p>
    <w:p w14:paraId="31549231" w14:textId="03C90176" w:rsidR="00766591" w:rsidRPr="00B71D77" w:rsidRDefault="00B71D77" w:rsidP="00B71D77">
      <w:pPr>
        <w:pStyle w:val="Endnote-Link"/>
        <w:spacing w:after="0"/>
        <w:rPr>
          <w:rFonts w:ascii="Lato" w:hAnsi="Lato"/>
          <w:b/>
          <w:bCs/>
          <w:sz w:val="16"/>
          <w:szCs w:val="16"/>
        </w:rPr>
      </w:pPr>
      <w:r w:rsidRPr="00B71D77">
        <w:rPr>
          <w:rFonts w:ascii="Lato" w:hAnsi="Lato"/>
          <w:b/>
          <w:bCs/>
          <w:sz w:val="16"/>
          <w:szCs w:val="16"/>
        </w:rPr>
        <w:t>OUTILS POUR LA PRATIQUE</w:t>
      </w:r>
    </w:p>
    <w:p w14:paraId="4762FDB1" w14:textId="6FDB2258" w:rsidR="00766591" w:rsidRPr="007D3F78" w:rsidRDefault="00000000" w:rsidP="005E02E8">
      <w:pPr>
        <w:pStyle w:val="Endnote-Link"/>
        <w:spacing w:before="0"/>
        <w:rPr>
          <w:rFonts w:ascii="Lato" w:hAnsi="Lato"/>
          <w:b/>
          <w:sz w:val="16"/>
          <w:szCs w:val="16"/>
        </w:rPr>
      </w:pPr>
      <w:hyperlink r:id="rId41" w:history="1">
        <w:proofErr w:type="spellStart"/>
        <w:r w:rsidR="00766591" w:rsidRPr="007D3F78">
          <w:rPr>
            <w:rStyle w:val="Hyperlink"/>
            <w:rFonts w:ascii="Lato" w:hAnsi="Lato"/>
            <w:sz w:val="16"/>
            <w:szCs w:val="16"/>
            <w:lang w:val="en-US"/>
          </w:rPr>
          <w:t>EasyHealth</w:t>
        </w:r>
        <w:proofErr w:type="spellEnd"/>
      </w:hyperlink>
      <w:r w:rsidR="00766591" w:rsidRPr="007D3F78">
        <w:rPr>
          <w:rFonts w:ascii="Lato" w:hAnsi="Lato"/>
          <w:sz w:val="16"/>
          <w:szCs w:val="16"/>
        </w:rPr>
        <w:t xml:space="preserve"> </w:t>
      </w:r>
      <w:r w:rsidR="00E22804" w:rsidRPr="007D3F78">
        <w:rPr>
          <w:rFonts w:ascii="Lato" w:hAnsi="Lato" w:cstheme="minorHAnsi"/>
          <w:color w:val="000000"/>
          <w:sz w:val="16"/>
          <w:szCs w:val="16"/>
          <w:lang w:val="fr-CA"/>
        </w:rPr>
        <w:t>dépliants faciles à lire sur de nombreux sujets de santé par</w:t>
      </w:r>
      <w:r w:rsidR="00655DA8" w:rsidRPr="007D3F78">
        <w:rPr>
          <w:rFonts w:ascii="Lato" w:hAnsi="Lato"/>
          <w:sz w:val="16"/>
          <w:szCs w:val="16"/>
        </w:rPr>
        <w:t xml:space="preserve"> </w:t>
      </w:r>
      <w:proofErr w:type="spellStart"/>
      <w:r w:rsidR="00655DA8" w:rsidRPr="007D3F78">
        <w:rPr>
          <w:rFonts w:ascii="Lato" w:hAnsi="Lato"/>
          <w:sz w:val="16"/>
          <w:szCs w:val="16"/>
        </w:rPr>
        <w:t>EasyHealth</w:t>
      </w:r>
      <w:proofErr w:type="spellEnd"/>
      <w:r w:rsidR="00655DA8" w:rsidRPr="007D3F78">
        <w:rPr>
          <w:rFonts w:ascii="Lato" w:hAnsi="Lato"/>
          <w:sz w:val="16"/>
          <w:szCs w:val="16"/>
        </w:rPr>
        <w:t xml:space="preserve">, Generate Opportunities Ltd., </w:t>
      </w:r>
      <w:r w:rsidR="00E22804" w:rsidRPr="007D3F78">
        <w:rPr>
          <w:rFonts w:ascii="Lato" w:hAnsi="Lato" w:cstheme="minorHAnsi"/>
          <w:color w:val="000000"/>
          <w:sz w:val="16"/>
          <w:szCs w:val="16"/>
          <w:lang w:val="fr-CA"/>
        </w:rPr>
        <w:t>Royaume-Uni. (L'accès à ce site est gratuit mais nécessite une inscription facile).</w:t>
      </w:r>
    </w:p>
  </w:endnote>
  <w:endnote w:id="44">
    <w:p w14:paraId="1D151516" w14:textId="14ACA7C9" w:rsidR="00766591" w:rsidRDefault="00766591" w:rsidP="0069631F">
      <w:pPr>
        <w:pStyle w:val="Endnote-H4"/>
        <w:spacing w:after="0"/>
      </w:pPr>
      <w:r w:rsidRPr="00EA151E">
        <w:rPr>
          <w:rStyle w:val="EndnoteTextChar"/>
          <w:rFonts w:ascii="Lato Black" w:hAnsi="Lato Black"/>
          <w:vertAlign w:val="superscript"/>
        </w:rPr>
        <w:endnoteRef/>
      </w:r>
      <w:r>
        <w:t xml:space="preserve"> </w:t>
      </w:r>
      <w:proofErr w:type="spellStart"/>
      <w:r w:rsidRPr="002C2620">
        <w:t>M</w:t>
      </w:r>
      <w:r w:rsidR="00E22804">
        <w:rPr>
          <w:rFonts w:cstheme="minorHAnsi"/>
          <w:color w:val="000000"/>
        </w:rPr>
        <w:t>usculosquelettique</w:t>
      </w:r>
      <w:proofErr w:type="spellEnd"/>
    </w:p>
    <w:p w14:paraId="6AD1C7E9" w14:textId="3E1721EA" w:rsidR="00B7084E"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Effectuez un examen des pieds et assurez-vous que leurs chaussures sont de la bonne taille. Vérifiez la présence de pied d'athlète et d'ongles incarnés</w:t>
      </w:r>
      <w:r w:rsidR="00B7084E" w:rsidRPr="007D3F78">
        <w:rPr>
          <w:rFonts w:ascii="Lato" w:hAnsi="Lato"/>
          <w:sz w:val="16"/>
          <w:szCs w:val="16"/>
        </w:rPr>
        <w:t>.</w:t>
      </w:r>
    </w:p>
    <w:p w14:paraId="1C9A2C87" w14:textId="17DCB9C2" w:rsidR="00766591" w:rsidRPr="007D3F78" w:rsidRDefault="00E22804" w:rsidP="00EA151E">
      <w:pPr>
        <w:pStyle w:val="Endnote-Context"/>
        <w:rPr>
          <w:rFonts w:ascii="Lato" w:hAnsi="Lato"/>
          <w:sz w:val="16"/>
          <w:szCs w:val="16"/>
        </w:rPr>
      </w:pPr>
      <w:r w:rsidRPr="007D3F78">
        <w:rPr>
          <w:rFonts w:ascii="Lato" w:hAnsi="Lato" w:cstheme="minorHAnsi"/>
          <w:color w:val="000000"/>
          <w:sz w:val="16"/>
          <w:szCs w:val="16"/>
          <w:lang w:val="fr-CA"/>
        </w:rPr>
        <w:t xml:space="preserve">Les troubles musculosquelettiques (p. ex., scoliose, contractures, spasticité et </w:t>
      </w:r>
      <w:proofErr w:type="spellStart"/>
      <w:r w:rsidRPr="007D3F78">
        <w:rPr>
          <w:rFonts w:ascii="Lato" w:hAnsi="Lato" w:cstheme="minorHAnsi"/>
          <w:color w:val="000000"/>
          <w:sz w:val="16"/>
          <w:szCs w:val="16"/>
          <w:lang w:val="fr-CA"/>
        </w:rPr>
        <w:t>hyperlaxicité</w:t>
      </w:r>
      <w:proofErr w:type="spellEnd"/>
      <w:r w:rsidRPr="007D3F78">
        <w:rPr>
          <w:rFonts w:ascii="Lato" w:hAnsi="Lato" w:cstheme="minorHAnsi"/>
          <w:color w:val="000000"/>
          <w:sz w:val="16"/>
          <w:szCs w:val="16"/>
          <w:lang w:val="fr-CA"/>
        </w:rPr>
        <w:t xml:space="preserve"> ligamentaire) sont des sources potentielles de douleurs non reconnues et sont fréquents chez les personnes ayant des DID, notamment chez les personnes ayant une paralysie cérébrale</w:t>
      </w:r>
      <w:r w:rsidR="00766591" w:rsidRPr="007D3F78">
        <w:rPr>
          <w:rFonts w:ascii="Lato" w:hAnsi="Lato"/>
          <w:sz w:val="16"/>
          <w:szCs w:val="16"/>
        </w:rPr>
        <w:t xml:space="preserve">. </w:t>
      </w:r>
      <w:r w:rsidRPr="007D3F78">
        <w:rPr>
          <w:rFonts w:ascii="Lato" w:hAnsi="Lato" w:cstheme="minorHAnsi"/>
          <w:color w:val="000000"/>
          <w:sz w:val="16"/>
          <w:szCs w:val="16"/>
          <w:lang w:val="fr-CA"/>
        </w:rPr>
        <w:t>La documentation de l’état de base concernant la mobilité et les contractures aidera à identifier la progression future</w:t>
      </w:r>
      <w:r w:rsidR="008F6B9C" w:rsidRPr="007D3F78">
        <w:rPr>
          <w:rFonts w:ascii="Lato" w:hAnsi="Lato"/>
          <w:sz w:val="16"/>
          <w:szCs w:val="16"/>
        </w:rPr>
        <w:t>.</w:t>
      </w:r>
    </w:p>
  </w:endnote>
  <w:endnote w:id="45">
    <w:p w14:paraId="6B245F0C" w14:textId="03A6451D" w:rsidR="00766591" w:rsidRDefault="00766591" w:rsidP="0069631F">
      <w:pPr>
        <w:pStyle w:val="Endnote-H4"/>
        <w:spacing w:after="0"/>
      </w:pPr>
      <w:r w:rsidRPr="004E57BC">
        <w:rPr>
          <w:rStyle w:val="EndnoteTextChar"/>
          <w:rFonts w:ascii="Lato Black" w:hAnsi="Lato Black"/>
          <w:vertAlign w:val="superscript"/>
        </w:rPr>
        <w:endnoteRef/>
      </w:r>
      <w:r>
        <w:t xml:space="preserve"> </w:t>
      </w:r>
      <w:proofErr w:type="spellStart"/>
      <w:r w:rsidRPr="002C2620">
        <w:t>N</w:t>
      </w:r>
      <w:r w:rsidR="00E22804">
        <w:rPr>
          <w:rFonts w:cstheme="minorHAnsi"/>
          <w:color w:val="000000"/>
        </w:rPr>
        <w:t>eurologique</w:t>
      </w:r>
      <w:proofErr w:type="spellEnd"/>
    </w:p>
    <w:p w14:paraId="6D5F30FD" w14:textId="0C566084" w:rsidR="0076659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Identifiez tout résultat neurologique focal ou localisé qui est possiblement congénital ou présent depuis longtemps, mais important en termes d’étiologie et de neuroimagerie recommandée associée</w:t>
      </w:r>
      <w:r w:rsidR="00766591" w:rsidRPr="007D3F78">
        <w:rPr>
          <w:rFonts w:ascii="Lato" w:hAnsi="Lato"/>
          <w:sz w:val="16"/>
          <w:szCs w:val="16"/>
        </w:rPr>
        <w:t>.</w:t>
      </w:r>
    </w:p>
    <w:p w14:paraId="77E74DD2" w14:textId="53682CBA" w:rsidR="0076659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Identifiez tout nouveau résultat neurologique focal ou localisé, y compris crises d'épilepsie nouvelles ou différentes, qui pourrait indiquer une nouvelle lésion du SNC</w:t>
      </w:r>
      <w:r w:rsidR="00766591" w:rsidRPr="007D3F78">
        <w:rPr>
          <w:rFonts w:ascii="Lato" w:hAnsi="Lato"/>
          <w:sz w:val="16"/>
          <w:szCs w:val="16"/>
        </w:rPr>
        <w:t xml:space="preserve">. </w:t>
      </w:r>
    </w:p>
    <w:p w14:paraId="7FA1717D" w14:textId="7924489C" w:rsidR="0076659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Identifiez tout nouveau changement neurologique général (non localisé) qui pourrait indiquer une nouvelle lésion du système nerveux central ou une maladie dégénérative (p. ex., modification de la démarche, problèmes d’équilibre, maladie de Parkinson, faiblesse générale, somnolence, crises d’épilepsie nouvelles ou différentes</w:t>
      </w:r>
      <w:r w:rsidR="00766591" w:rsidRPr="007D3F78">
        <w:rPr>
          <w:rFonts w:ascii="Lato" w:hAnsi="Lato"/>
          <w:sz w:val="16"/>
          <w:szCs w:val="16"/>
        </w:rPr>
        <w:t>).</w:t>
      </w:r>
    </w:p>
    <w:p w14:paraId="78214287" w14:textId="635161A0" w:rsidR="00766591" w:rsidRPr="007D3F78" w:rsidRDefault="00E22804" w:rsidP="00795417">
      <w:pPr>
        <w:pStyle w:val="Endnote-Context"/>
        <w:rPr>
          <w:rFonts w:ascii="Lato" w:hAnsi="Lato"/>
          <w:sz w:val="16"/>
          <w:szCs w:val="16"/>
        </w:rPr>
      </w:pPr>
      <w:r w:rsidRPr="007D3F78">
        <w:rPr>
          <w:rFonts w:ascii="Lato" w:hAnsi="Lato" w:cstheme="minorHAnsi"/>
          <w:color w:val="000000"/>
          <w:sz w:val="16"/>
          <w:szCs w:val="16"/>
          <w:lang w:val="fr-CA"/>
        </w:rPr>
        <w:t>Veillez à ce que les résultats neurologiques de base connus du patient, y compris les crises d’épilepsie, soient bien documentés afin que les changements puissent être identifiés</w:t>
      </w:r>
      <w:r w:rsidR="00766591" w:rsidRPr="007D3F78">
        <w:rPr>
          <w:rFonts w:ascii="Lato" w:hAnsi="Lato"/>
          <w:sz w:val="16"/>
          <w:szCs w:val="16"/>
        </w:rPr>
        <w:t xml:space="preserve">. </w:t>
      </w:r>
    </w:p>
  </w:endnote>
  <w:endnote w:id="46">
    <w:p w14:paraId="5B53190A" w14:textId="1A135A0E" w:rsidR="00766591" w:rsidRDefault="00766591" w:rsidP="0069631F">
      <w:pPr>
        <w:pStyle w:val="Endnote-H4"/>
        <w:spacing w:after="0"/>
      </w:pPr>
      <w:r w:rsidRPr="004E57BC">
        <w:rPr>
          <w:rStyle w:val="EndnoteTextChar"/>
          <w:rFonts w:ascii="Lato Black" w:hAnsi="Lato Black"/>
          <w:vertAlign w:val="superscript"/>
        </w:rPr>
        <w:endnoteRef/>
      </w:r>
      <w:r w:rsidRPr="004E57BC">
        <w:rPr>
          <w:vertAlign w:val="superscript"/>
        </w:rPr>
        <w:t xml:space="preserve"> </w:t>
      </w:r>
      <w:r w:rsidR="00E22804">
        <w:rPr>
          <w:rFonts w:cstheme="minorHAnsi"/>
          <w:color w:val="000000"/>
        </w:rPr>
        <w:t>État mental</w:t>
      </w:r>
    </w:p>
    <w:p w14:paraId="774EA814" w14:textId="7F110198" w:rsidR="00766591" w:rsidRPr="007D3F78" w:rsidRDefault="00E22804" w:rsidP="008F6B9C">
      <w:pPr>
        <w:pStyle w:val="Endnote-Bullet-L1"/>
        <w:rPr>
          <w:rFonts w:ascii="Lato" w:hAnsi="Lato"/>
          <w:sz w:val="16"/>
          <w:szCs w:val="16"/>
        </w:rPr>
      </w:pPr>
      <w:r w:rsidRPr="007D3F78">
        <w:rPr>
          <w:rFonts w:ascii="Lato" w:hAnsi="Lato" w:cstheme="minorHAnsi"/>
          <w:color w:val="000000"/>
          <w:sz w:val="16"/>
          <w:szCs w:val="16"/>
          <w:lang w:val="fr-CA"/>
        </w:rPr>
        <w:t>Voir les conseils et les ‘Outils pour la pratique’ portant sur la santé mentale, les comportements qui représentent un défi et la démence dans la section "Revue des systèmes"</w:t>
      </w:r>
      <w:r w:rsidR="00127457" w:rsidRPr="007D3F78">
        <w:rPr>
          <w:rFonts w:ascii="Lato" w:hAnsi="Lato"/>
          <w:sz w:val="16"/>
          <w:szCs w:val="16"/>
        </w:rPr>
        <w:t>.</w:t>
      </w:r>
    </w:p>
  </w:endnote>
  <w:endnote w:id="47">
    <w:p w14:paraId="73FCF2FA" w14:textId="659EEB5C" w:rsidR="00766591" w:rsidRDefault="00766591" w:rsidP="0069631F">
      <w:pPr>
        <w:pStyle w:val="Endnote-H4"/>
        <w:spacing w:after="0"/>
      </w:pPr>
      <w:r w:rsidRPr="00170458">
        <w:rPr>
          <w:vertAlign w:val="superscript"/>
        </w:rPr>
        <w:endnoteRef/>
      </w:r>
      <w:r>
        <w:t xml:space="preserve"> </w:t>
      </w:r>
      <w:proofErr w:type="spellStart"/>
      <w:r w:rsidR="00E22804">
        <w:rPr>
          <w:rFonts w:cstheme="minorHAnsi"/>
          <w:color w:val="000000"/>
        </w:rPr>
        <w:t>Peau</w:t>
      </w:r>
      <w:proofErr w:type="spellEnd"/>
    </w:p>
    <w:p w14:paraId="4A02642B" w14:textId="62AD67C2" w:rsidR="00766591" w:rsidRPr="007D3F78" w:rsidRDefault="00E22804" w:rsidP="00732486">
      <w:pPr>
        <w:pStyle w:val="Endnote-Bullet-L1"/>
        <w:spacing w:after="0"/>
        <w:rPr>
          <w:rFonts w:ascii="Lato" w:hAnsi="Lato"/>
          <w:sz w:val="16"/>
          <w:szCs w:val="16"/>
        </w:rPr>
      </w:pPr>
      <w:r w:rsidRPr="007D3F78">
        <w:rPr>
          <w:rFonts w:ascii="Lato" w:hAnsi="Lato" w:cstheme="minorHAnsi"/>
          <w:color w:val="000000"/>
          <w:sz w:val="16"/>
          <w:szCs w:val="16"/>
          <w:lang w:val="fr-CA"/>
        </w:rPr>
        <w:t>Pour les patients à mobilité réduite ou ceux qui sont en fauteuil roulant, vérifiez les changements cutanés et les ulcères liés à la pression</w:t>
      </w:r>
      <w:r w:rsidR="00766591" w:rsidRPr="007D3F78">
        <w:rPr>
          <w:rFonts w:ascii="Lato" w:hAnsi="Lato"/>
          <w:sz w:val="16"/>
          <w:szCs w:val="16"/>
        </w:rPr>
        <w:t xml:space="preserve">. </w:t>
      </w:r>
    </w:p>
    <w:p w14:paraId="58C9AF7E" w14:textId="1BCB912F" w:rsidR="00766591" w:rsidRPr="007D3F78" w:rsidRDefault="00E22804" w:rsidP="00732486">
      <w:pPr>
        <w:pStyle w:val="Endnote-Bullet-L1"/>
        <w:spacing w:after="0"/>
        <w:rPr>
          <w:rFonts w:ascii="Lato" w:hAnsi="Lato"/>
          <w:sz w:val="16"/>
          <w:szCs w:val="16"/>
        </w:rPr>
      </w:pPr>
      <w:r w:rsidRPr="007D3F78">
        <w:rPr>
          <w:rFonts w:ascii="Lato" w:hAnsi="Lato" w:cstheme="minorHAnsi"/>
          <w:color w:val="000000"/>
          <w:sz w:val="16"/>
          <w:szCs w:val="16"/>
          <w:lang w:val="fr-CA"/>
        </w:rPr>
        <w:t>Vérifiez si la peau affectée par les contractures est infectée ou ulcéreuse</w:t>
      </w:r>
      <w:r w:rsidR="00766591" w:rsidRPr="007D3F78">
        <w:rPr>
          <w:rFonts w:ascii="Lato" w:hAnsi="Lato"/>
          <w:sz w:val="16"/>
          <w:szCs w:val="16"/>
        </w:rPr>
        <w:t>.</w:t>
      </w:r>
    </w:p>
    <w:p w14:paraId="4EBE944C" w14:textId="0ECE45A4" w:rsidR="00766591" w:rsidRPr="007D3F78" w:rsidRDefault="00E22804" w:rsidP="001A51DF">
      <w:pPr>
        <w:pStyle w:val="Endnote-Bullet-L1"/>
        <w:rPr>
          <w:rFonts w:ascii="Lato" w:hAnsi="Lato"/>
          <w:sz w:val="16"/>
          <w:szCs w:val="16"/>
        </w:rPr>
      </w:pPr>
      <w:r w:rsidRPr="007D3F78">
        <w:rPr>
          <w:rFonts w:ascii="Lato" w:hAnsi="Lato"/>
          <w:sz w:val="16"/>
          <w:szCs w:val="16"/>
          <w:lang w:val="fr-CA"/>
        </w:rPr>
        <w:t>Vérifier la présence de teigne et d'autres infections dans les plis cutanés des personnes obèses</w:t>
      </w:r>
      <w:r w:rsidR="00766591" w:rsidRPr="007D3F78">
        <w:rPr>
          <w:rFonts w:ascii="Lato" w:hAnsi="Lato"/>
          <w:sz w:val="16"/>
          <w:szCs w:val="16"/>
        </w:rPr>
        <w:t>.</w:t>
      </w:r>
    </w:p>
  </w:endnote>
  <w:endnote w:id="48">
    <w:p w14:paraId="2045ECCD" w14:textId="3305F9E8" w:rsidR="0016538B" w:rsidRDefault="0016538B" w:rsidP="0069631F">
      <w:pPr>
        <w:pStyle w:val="Endnote-H4"/>
        <w:spacing w:after="0"/>
      </w:pPr>
      <w:r w:rsidRPr="00EA02C4">
        <w:rPr>
          <w:vertAlign w:val="superscript"/>
        </w:rPr>
        <w:endnoteRef/>
      </w:r>
      <w:r w:rsidRPr="00EA02C4">
        <w:rPr>
          <w:vertAlign w:val="superscript"/>
        </w:rPr>
        <w:t xml:space="preserve"> </w:t>
      </w:r>
      <w:proofErr w:type="spellStart"/>
      <w:r w:rsidR="00E22804">
        <w:rPr>
          <w:rFonts w:cstheme="minorHAnsi"/>
          <w:color w:val="000000"/>
        </w:rPr>
        <w:t>Évaluation</w:t>
      </w:r>
      <w:proofErr w:type="spellEnd"/>
      <w:r w:rsidR="00E22804">
        <w:rPr>
          <w:rFonts w:cstheme="minorHAnsi"/>
          <w:color w:val="000000"/>
        </w:rPr>
        <w:t xml:space="preserve"> et plan</w:t>
      </w:r>
    </w:p>
    <w:p w14:paraId="359A2F11" w14:textId="788B1020" w:rsidR="0016538B" w:rsidRPr="007D3F78" w:rsidRDefault="00E22804" w:rsidP="00732486">
      <w:pPr>
        <w:pStyle w:val="Endnote-Bullet-L1"/>
        <w:spacing w:after="0"/>
        <w:rPr>
          <w:rFonts w:ascii="Lato" w:hAnsi="Lato"/>
          <w:sz w:val="16"/>
          <w:szCs w:val="16"/>
        </w:rPr>
      </w:pPr>
      <w:r w:rsidRPr="007D3F78">
        <w:rPr>
          <w:rFonts w:ascii="Lato" w:hAnsi="Lato" w:cstheme="minorHAnsi"/>
          <w:color w:val="000000"/>
          <w:sz w:val="16"/>
          <w:szCs w:val="16"/>
          <w:lang w:val="fr-CA"/>
        </w:rPr>
        <w:t>Dresser la liste des problèmes identifiés lors des étapes précédentes de l’Examen de santé. Identifier le plan et les soutiens dont la personne a besoin pour atteindre chaque objectif</w:t>
      </w:r>
      <w:r w:rsidR="0016538B" w:rsidRPr="007D3F78">
        <w:rPr>
          <w:rFonts w:ascii="Lato" w:hAnsi="Lato"/>
          <w:sz w:val="16"/>
          <w:szCs w:val="16"/>
        </w:rPr>
        <w:t xml:space="preserve">. </w:t>
      </w:r>
    </w:p>
    <w:p w14:paraId="770C7AA9" w14:textId="76211020" w:rsidR="0016538B" w:rsidRPr="007D3F78" w:rsidRDefault="00E22804" w:rsidP="00732486">
      <w:pPr>
        <w:pStyle w:val="Endnote-Bullet-L1"/>
        <w:spacing w:after="0"/>
        <w:rPr>
          <w:rFonts w:ascii="Lato" w:hAnsi="Lato"/>
          <w:sz w:val="16"/>
          <w:szCs w:val="16"/>
        </w:rPr>
      </w:pPr>
      <w:r w:rsidRPr="007D3F78">
        <w:rPr>
          <w:rFonts w:ascii="Lato" w:hAnsi="Lato"/>
          <w:sz w:val="16"/>
          <w:szCs w:val="16"/>
          <w:lang w:val="fr-CA"/>
        </w:rPr>
        <w:t>Prenez en considération la responsabilité des patients et des aidants, du médecin de famille et de l'équipe, de l'orientation, si possible, et de l'engagement avec les systèmes de santé et de services sociaux, pour partager le travail du plan. Déterminez qui est responsable des tâches et des échéances spécifiques</w:t>
      </w:r>
      <w:r w:rsidR="0016538B" w:rsidRPr="007D3F78">
        <w:rPr>
          <w:rFonts w:ascii="Lato" w:hAnsi="Lato"/>
          <w:sz w:val="16"/>
          <w:szCs w:val="16"/>
        </w:rPr>
        <w:t>.</w:t>
      </w:r>
    </w:p>
    <w:p w14:paraId="34CA9D48" w14:textId="08E6F59F" w:rsidR="0016538B" w:rsidRPr="007D3F78" w:rsidRDefault="00E22804" w:rsidP="0069631F">
      <w:pPr>
        <w:pStyle w:val="Endnote-Bullet-L1"/>
        <w:spacing w:after="0"/>
        <w:rPr>
          <w:rFonts w:ascii="Lato" w:hAnsi="Lato"/>
          <w:sz w:val="16"/>
          <w:szCs w:val="16"/>
        </w:rPr>
      </w:pPr>
      <w:r w:rsidRPr="007D3F78">
        <w:rPr>
          <w:rFonts w:ascii="Lato" w:hAnsi="Lato"/>
          <w:sz w:val="16"/>
          <w:szCs w:val="16"/>
          <w:lang w:val="fr-CA"/>
        </w:rPr>
        <w:t xml:space="preserve">Copiez le plan pour le patient ou remplissez la section ‘Plan’ du formulaire </w:t>
      </w:r>
      <w:r w:rsidRPr="007D3F78">
        <w:rPr>
          <w:rFonts w:ascii="Lato" w:hAnsi="Lato"/>
          <w:i/>
          <w:iCs/>
          <w:sz w:val="16"/>
          <w:szCs w:val="16"/>
          <w:lang w:val="fr-CA"/>
        </w:rPr>
        <w:t>Mon rendez-vous médical</w:t>
      </w:r>
      <w:r w:rsidRPr="007D3F78">
        <w:rPr>
          <w:rFonts w:ascii="Lato" w:hAnsi="Lato"/>
          <w:sz w:val="16"/>
          <w:szCs w:val="16"/>
          <w:lang w:val="fr-CA"/>
        </w:rPr>
        <w:t xml:space="preserve"> pour que le patient le conserve</w:t>
      </w:r>
      <w:r w:rsidR="0016538B" w:rsidRPr="007D3F78">
        <w:rPr>
          <w:rFonts w:ascii="Lato" w:hAnsi="Lato"/>
          <w:sz w:val="16"/>
          <w:szCs w:val="16"/>
        </w:rPr>
        <w:t>.</w:t>
      </w:r>
    </w:p>
    <w:p w14:paraId="1185D9E9" w14:textId="15FF48DB" w:rsidR="0016538B" w:rsidRPr="007D3F78" w:rsidRDefault="00E22804" w:rsidP="004E57BC">
      <w:pPr>
        <w:pStyle w:val="Endnote-Context"/>
        <w:rPr>
          <w:rFonts w:ascii="Lato" w:hAnsi="Lato"/>
          <w:sz w:val="16"/>
          <w:szCs w:val="16"/>
        </w:rPr>
      </w:pPr>
      <w:r w:rsidRPr="007D3F78">
        <w:rPr>
          <w:rFonts w:ascii="Lato" w:hAnsi="Lato" w:cstheme="minorHAnsi"/>
          <w:color w:val="000000"/>
          <w:sz w:val="16"/>
          <w:szCs w:val="16"/>
          <w:lang w:val="fr-CA"/>
        </w:rPr>
        <w:t>La portée des mesures de soutien et de la planification peut être définie dans les cinq domaines suivants : Habitudes de santé et mode de vie à promouvoir ou à réduire/arrêter ; Problèmes médicaux comorbides et soutien nécessaire pour les gérer ; Nouveaux</w:t>
      </w:r>
      <w:r w:rsidRPr="007D3F78">
        <w:rPr>
          <w:rFonts w:ascii="Lato" w:hAnsi="Lato"/>
          <w:sz w:val="16"/>
          <w:szCs w:val="16"/>
        </w:rPr>
        <w:t xml:space="preserve"> </w:t>
      </w:r>
      <w:r w:rsidRPr="007D3F78">
        <w:rPr>
          <w:rFonts w:ascii="Lato" w:hAnsi="Lato" w:cstheme="minorHAnsi"/>
          <w:color w:val="000000"/>
          <w:sz w:val="16"/>
          <w:szCs w:val="16"/>
          <w:lang w:val="fr-CA"/>
        </w:rPr>
        <w:t>symptômes/signes à suivre ; Prévention/dépistage recommandé ; Prise de décision en matière de santé et Planification anticipée des soins, y compris pour les transitions de vie (par ex., de l'âge scolaire à l'âge adulte</w:t>
      </w:r>
      <w:r w:rsidR="0016538B" w:rsidRPr="007D3F78">
        <w:rPr>
          <w:rFonts w:ascii="Lato" w:hAnsi="Lato"/>
          <w:sz w:val="16"/>
          <w:szCs w:val="16"/>
        </w:rPr>
        <w:t xml:space="preserve">). </w:t>
      </w:r>
    </w:p>
  </w:endnote>
  <w:endnote w:id="49">
    <w:p w14:paraId="494641F3" w14:textId="24CD5AE7" w:rsidR="00A95AC1" w:rsidRDefault="00A95AC1" w:rsidP="0069631F">
      <w:pPr>
        <w:pStyle w:val="Endnote-H4"/>
        <w:spacing w:after="0"/>
      </w:pPr>
      <w:r>
        <w:rPr>
          <w:rStyle w:val="EndnoteReference"/>
        </w:rPr>
        <w:endnoteRef/>
      </w:r>
      <w:r>
        <w:t xml:space="preserve"> </w:t>
      </w:r>
      <w:r w:rsidR="00E22804">
        <w:rPr>
          <w:rFonts w:cstheme="minorHAnsi"/>
          <w:color w:val="000000"/>
          <w:lang w:val="fr-CA"/>
        </w:rPr>
        <w:t>Liste des médicaments mise à jour</w:t>
      </w:r>
    </w:p>
    <w:p w14:paraId="275CF63F" w14:textId="66117BE7" w:rsidR="00A95AC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Assurez-vous que la liste de médicaments inscrite au dossier du patient ou à son dossier médical électronique représente fidèlement ce qu'il ou elle prend. Demandez à un pharmacien ou à un autre membre de l'équipe d'infirmières de la clinique médicale de revoir et de concilier la liste de médicaments</w:t>
      </w:r>
      <w:r w:rsidR="00A95AC1" w:rsidRPr="007D3F78">
        <w:rPr>
          <w:rFonts w:ascii="Lato" w:hAnsi="Lato"/>
          <w:sz w:val="16"/>
          <w:szCs w:val="16"/>
        </w:rPr>
        <w:t>.</w:t>
      </w:r>
    </w:p>
    <w:p w14:paraId="345FA91A" w14:textId="5F99CC0F" w:rsidR="00A95AC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Revoir les médicaments psychotropes et antipsychotiques</w:t>
      </w:r>
      <w:r w:rsidR="00A95AC1" w:rsidRPr="007D3F78">
        <w:rPr>
          <w:rFonts w:ascii="Lato" w:hAnsi="Lato"/>
          <w:sz w:val="16"/>
          <w:szCs w:val="16"/>
        </w:rPr>
        <w:t xml:space="preserve">. </w:t>
      </w:r>
    </w:p>
    <w:p w14:paraId="54E71898" w14:textId="41AEA00F" w:rsidR="00A95AC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Si la prise d’un médicament est arrêtée en raison de la résolution du problème, d’échec ou d’effets indésirables, notez la raison au Profil Cumulatif du Patient</w:t>
      </w:r>
      <w:r w:rsidR="00A95AC1" w:rsidRPr="007D3F78">
        <w:rPr>
          <w:rFonts w:ascii="Lato" w:hAnsi="Lato"/>
          <w:sz w:val="16"/>
          <w:szCs w:val="16"/>
        </w:rPr>
        <w:t>.</w:t>
      </w:r>
    </w:p>
    <w:p w14:paraId="71A8683E" w14:textId="23050967" w:rsidR="00A95AC1" w:rsidRPr="007D3F78" w:rsidRDefault="00E22804" w:rsidP="0069631F">
      <w:pPr>
        <w:pStyle w:val="Endnote-H5"/>
        <w:spacing w:after="0"/>
        <w:rPr>
          <w:rFonts w:ascii="Lato" w:hAnsi="Lato"/>
          <w:sz w:val="16"/>
          <w:szCs w:val="16"/>
        </w:rPr>
      </w:pPr>
      <w:r w:rsidRPr="007D3F78">
        <w:rPr>
          <w:rFonts w:ascii="Lato" w:hAnsi="Lato" w:cstheme="minorHAnsi"/>
          <w:color w:val="000000"/>
          <w:sz w:val="16"/>
          <w:szCs w:val="16"/>
          <w:lang w:val="fr-CA"/>
        </w:rPr>
        <w:t>OUTILS POUR LA PRATIQUE</w:t>
      </w:r>
    </w:p>
    <w:p w14:paraId="4A4B632E" w14:textId="5D98558F" w:rsidR="00A95AC1" w:rsidRPr="007D3F78" w:rsidRDefault="00000000" w:rsidP="00DE23A4">
      <w:pPr>
        <w:pStyle w:val="Endnote-Link"/>
        <w:rPr>
          <w:rFonts w:ascii="Lato" w:hAnsi="Lato"/>
          <w:sz w:val="16"/>
          <w:szCs w:val="16"/>
        </w:rPr>
      </w:pPr>
      <w:hyperlink r:id="rId42" w:history="1">
        <w:r w:rsidR="00E22804" w:rsidRPr="007D3F78">
          <w:rPr>
            <w:rStyle w:val="Hyperlink"/>
            <w:rFonts w:ascii="Lato" w:hAnsi="Lato"/>
            <w:sz w:val="16"/>
            <w:szCs w:val="16"/>
            <w:lang w:val="fr-CA"/>
          </w:rPr>
          <w:t>Vérification des médicaments psychotropes</w:t>
        </w:r>
        <w:r w:rsidR="00E22804" w:rsidRPr="007D3F78">
          <w:rPr>
            <w:rStyle w:val="Hyperlink"/>
            <w:rFonts w:ascii="Lato" w:hAnsi="Lato"/>
            <w:sz w:val="16"/>
            <w:szCs w:val="16"/>
            <w:lang w:val="en-US"/>
          </w:rPr>
          <w:t xml:space="preserve"> </w:t>
        </w:r>
      </w:hyperlink>
    </w:p>
  </w:endnote>
  <w:endnote w:id="50">
    <w:p w14:paraId="3D110E22" w14:textId="15BD6B3E" w:rsidR="00A95AC1" w:rsidRDefault="00A95AC1" w:rsidP="0069631F">
      <w:pPr>
        <w:pStyle w:val="Endnote-H4"/>
        <w:spacing w:after="0"/>
      </w:pPr>
      <w:r>
        <w:rPr>
          <w:rStyle w:val="EndnoteReference"/>
        </w:rPr>
        <w:endnoteRef/>
      </w:r>
      <w:r>
        <w:t xml:space="preserve"> </w:t>
      </w:r>
      <w:r w:rsidR="00E22804">
        <w:rPr>
          <w:rFonts w:cstheme="minorHAnsi"/>
          <w:color w:val="000000"/>
          <w:lang w:val="fr-CA"/>
        </w:rPr>
        <w:t>Analyses de laboratoire et autres tests prévus</w:t>
      </w:r>
    </w:p>
    <w:p w14:paraId="5257F9A7" w14:textId="179F2A3E" w:rsidR="00A95AC1" w:rsidRPr="007D3F78" w:rsidRDefault="00E22804" w:rsidP="0069631F">
      <w:pPr>
        <w:pStyle w:val="Endnote-Bullet-L1"/>
        <w:spacing w:after="0"/>
        <w:rPr>
          <w:rFonts w:ascii="Lato" w:hAnsi="Lato"/>
          <w:sz w:val="16"/>
          <w:szCs w:val="16"/>
        </w:rPr>
      </w:pPr>
      <w:r w:rsidRPr="007D3F78">
        <w:rPr>
          <w:rFonts w:ascii="Lato" w:hAnsi="Lato" w:cstheme="minorHAnsi"/>
          <w:color w:val="000000"/>
          <w:sz w:val="16"/>
          <w:szCs w:val="16"/>
          <w:lang w:val="fr-CA"/>
        </w:rPr>
        <w:t xml:space="preserve">En fonction des facteurs de risque identifiés, envisagez le </w:t>
      </w:r>
      <w:proofErr w:type="gramStart"/>
      <w:r w:rsidRPr="007D3F78">
        <w:rPr>
          <w:rFonts w:ascii="Lato" w:hAnsi="Lato" w:cstheme="minorHAnsi"/>
          <w:color w:val="000000"/>
          <w:sz w:val="16"/>
          <w:szCs w:val="16"/>
          <w:lang w:val="fr-CA"/>
        </w:rPr>
        <w:t>dépistage  du</w:t>
      </w:r>
      <w:proofErr w:type="gramEnd"/>
      <w:r w:rsidRPr="007D3F78">
        <w:rPr>
          <w:rFonts w:ascii="Lato" w:hAnsi="Lato" w:cstheme="minorHAnsi"/>
          <w:color w:val="000000"/>
          <w:sz w:val="16"/>
          <w:szCs w:val="16"/>
          <w:lang w:val="fr-CA"/>
        </w:rPr>
        <w:t xml:space="preserve"> diabète de Type 2 (à un âge plus précoce que pour l’ensemble de la population), des infections transmissibles sexuellement (en cas de risque ou d’abus), de la TSH (annuellement si à risque), de H Pylori (si le patient est en résidence de groupe ou s’il y a des antécédents, tous les 3 à 5 ans), de la vision (tous les 2ans &gt;40),de l’audiologie (tous les 5ans &gt;45)</w:t>
      </w:r>
      <w:r w:rsidR="00A95AC1" w:rsidRPr="007D3F78">
        <w:rPr>
          <w:rFonts w:ascii="Lato" w:hAnsi="Lato"/>
          <w:sz w:val="16"/>
          <w:szCs w:val="16"/>
        </w:rPr>
        <w:t xml:space="preserve">, </w:t>
      </w:r>
      <w:r w:rsidRPr="007D3F78">
        <w:rPr>
          <w:rFonts w:ascii="Lato" w:hAnsi="Lato" w:cstheme="minorHAnsi"/>
          <w:color w:val="000000"/>
          <w:sz w:val="16"/>
          <w:szCs w:val="16"/>
          <w:lang w:val="fr-CA"/>
        </w:rPr>
        <w:t>des soins dentaires (tous les 6mois). Envisager un CBC (hémogramme complet) de base afin d'identifier les changements en cas de malaise ultérieur</w:t>
      </w:r>
      <w:r w:rsidR="00A95AC1" w:rsidRPr="007D3F78">
        <w:rPr>
          <w:rFonts w:ascii="Lato" w:hAnsi="Lato"/>
          <w:sz w:val="16"/>
          <w:szCs w:val="16"/>
        </w:rPr>
        <w:t>.</w:t>
      </w:r>
    </w:p>
    <w:p w14:paraId="7D802F2D" w14:textId="4ACAEB0E" w:rsidR="008641CB" w:rsidRPr="007D3F78" w:rsidRDefault="00E22804" w:rsidP="0069631F">
      <w:pPr>
        <w:pStyle w:val="Endnote-H5"/>
        <w:spacing w:after="0"/>
        <w:rPr>
          <w:rFonts w:ascii="Lato" w:hAnsi="Lato"/>
          <w:sz w:val="16"/>
          <w:szCs w:val="16"/>
        </w:rPr>
      </w:pPr>
      <w:r w:rsidRPr="007D3F78">
        <w:rPr>
          <w:rFonts w:ascii="Lato" w:hAnsi="Lato" w:cstheme="minorHAnsi"/>
          <w:color w:val="000000"/>
          <w:sz w:val="16"/>
          <w:szCs w:val="16"/>
          <w:lang w:val="fr-CA"/>
        </w:rPr>
        <w:t>OUTILS POUR LA PRATIQUE</w:t>
      </w:r>
      <w:r w:rsidR="00A95AC1" w:rsidRPr="007D3F78">
        <w:rPr>
          <w:rFonts w:ascii="Lato" w:hAnsi="Lato"/>
          <w:sz w:val="16"/>
          <w:szCs w:val="16"/>
        </w:rPr>
        <w:t xml:space="preserve"> </w:t>
      </w:r>
    </w:p>
    <w:p w14:paraId="7B31E98E" w14:textId="7DC92752" w:rsidR="00A95AC1" w:rsidRPr="007D3F78" w:rsidRDefault="00E22804" w:rsidP="0069631F">
      <w:pPr>
        <w:pStyle w:val="Endnote-Link"/>
        <w:spacing w:after="0"/>
        <w:rPr>
          <w:rFonts w:ascii="Lato" w:hAnsi="Lato"/>
          <w:sz w:val="16"/>
          <w:szCs w:val="16"/>
        </w:rPr>
      </w:pPr>
      <w:r w:rsidRPr="007D3F78">
        <w:rPr>
          <w:rFonts w:ascii="Lato" w:hAnsi="Lato"/>
          <w:sz w:val="16"/>
          <w:szCs w:val="16"/>
          <w:lang w:val="fr-CA"/>
        </w:rPr>
        <w:t>Pour personnes ayant des syndromes connus</w:t>
      </w:r>
      <w:r w:rsidR="00A95AC1" w:rsidRPr="007D3F78">
        <w:rPr>
          <w:rFonts w:ascii="Lato" w:hAnsi="Lato"/>
          <w:sz w:val="16"/>
          <w:szCs w:val="16"/>
        </w:rPr>
        <w:t xml:space="preserve"> </w:t>
      </w:r>
    </w:p>
    <w:p w14:paraId="63B49242" w14:textId="27BA1F6D" w:rsidR="00A95AC1" w:rsidRDefault="00000000" w:rsidP="00F40DD5">
      <w:pPr>
        <w:pStyle w:val="Endnote-Link"/>
      </w:pPr>
      <w:hyperlink r:id="rId43" w:history="1">
        <w:r w:rsidR="00E22804" w:rsidRPr="007D3F78">
          <w:rPr>
            <w:rStyle w:val="Hyperlink"/>
            <w:rFonts w:ascii="Lato" w:hAnsi="Lato"/>
            <w:sz w:val="16"/>
            <w:szCs w:val="16"/>
            <w:lang w:val="fr-CA"/>
          </w:rPr>
          <w:t>Tableaux de surveillance de la santé</w:t>
        </w:r>
        <w:r w:rsidR="00E22804" w:rsidRPr="007D3F78">
          <w:rPr>
            <w:rStyle w:val="Hyperlink"/>
            <w:rFonts w:ascii="Lato" w:hAnsi="Lato"/>
            <w:sz w:val="16"/>
            <w:szCs w:val="16"/>
            <w:lang w:val="en-US"/>
          </w:rPr>
          <w:t xml:space="preserve"> </w:t>
        </w:r>
      </w:hyperlink>
    </w:p>
  </w:endnote>
  <w:endnote w:id="51">
    <w:p w14:paraId="5BED4D7D" w14:textId="32F09D9C" w:rsidR="00A95AC1" w:rsidRDefault="00A95AC1" w:rsidP="0069631F">
      <w:pPr>
        <w:pStyle w:val="Endnote-H4"/>
        <w:spacing w:after="0"/>
      </w:pPr>
      <w:r>
        <w:rPr>
          <w:rStyle w:val="EndnoteReference"/>
        </w:rPr>
        <w:endnoteRef/>
      </w:r>
      <w:r>
        <w:t xml:space="preserve"> </w:t>
      </w:r>
      <w:r w:rsidR="00E22804">
        <w:rPr>
          <w:rFonts w:cstheme="minorHAnsi"/>
          <w:color w:val="000000"/>
          <w:lang w:val="fr-CA"/>
        </w:rPr>
        <w:t>Mesures préventives et de dépistage prévues</w:t>
      </w:r>
    </w:p>
    <w:p w14:paraId="0825F863" w14:textId="7872EF3D" w:rsidR="00A95AC1" w:rsidRPr="007D3F78" w:rsidRDefault="00E22804" w:rsidP="00732486">
      <w:pPr>
        <w:pStyle w:val="Endnote-Bullet-L1"/>
        <w:spacing w:after="0"/>
        <w:rPr>
          <w:rFonts w:ascii="Lato" w:hAnsi="Lato"/>
          <w:sz w:val="16"/>
          <w:szCs w:val="16"/>
        </w:rPr>
      </w:pPr>
      <w:r w:rsidRPr="007D3F78">
        <w:rPr>
          <w:rFonts w:ascii="Lato" w:hAnsi="Lato" w:cstheme="minorHAnsi"/>
          <w:color w:val="000000"/>
          <w:sz w:val="16"/>
          <w:szCs w:val="16"/>
          <w:lang w:val="fr-CA"/>
        </w:rPr>
        <w:t>Cancer : effectuez un dépistage en fonction des facteurs de risque identifiés ci-dessus pour le cancer du sein (mammographie), le cancer du col de l'utérus (cytologie, test de Pap) et le cancer colorectal (test immunochimique fécal (TIF), test immunochimique fécal à la recherche de sang occulte/test immunochimique fécal (RSOSI) ou une coloscopie)</w:t>
      </w:r>
      <w:r w:rsidR="002A3572" w:rsidRPr="007D3F78">
        <w:rPr>
          <w:rFonts w:ascii="Lato" w:hAnsi="Lato"/>
          <w:sz w:val="16"/>
          <w:szCs w:val="16"/>
        </w:rPr>
        <w:t>.</w:t>
      </w:r>
    </w:p>
    <w:p w14:paraId="33B6A770" w14:textId="24377727" w:rsidR="00A95AC1" w:rsidRPr="007D3F78" w:rsidRDefault="00E22804" w:rsidP="00732486">
      <w:pPr>
        <w:pStyle w:val="Endnote-Bullet-L1"/>
        <w:spacing w:after="0"/>
        <w:rPr>
          <w:rFonts w:ascii="Lato" w:hAnsi="Lato"/>
          <w:sz w:val="16"/>
          <w:szCs w:val="16"/>
        </w:rPr>
      </w:pPr>
      <w:r w:rsidRPr="007D3F78">
        <w:rPr>
          <w:rFonts w:ascii="Lato" w:hAnsi="Lato" w:cstheme="minorHAnsi"/>
          <w:color w:val="000000"/>
          <w:sz w:val="16"/>
          <w:szCs w:val="16"/>
          <w:lang w:val="fr-CA"/>
        </w:rPr>
        <w:t xml:space="preserve">Maladies infectieuses: effectuez un dépistage en </w:t>
      </w:r>
      <w:proofErr w:type="gramStart"/>
      <w:r w:rsidRPr="007D3F78">
        <w:rPr>
          <w:rFonts w:ascii="Lato" w:hAnsi="Lato" w:cstheme="minorHAnsi"/>
          <w:color w:val="000000"/>
          <w:sz w:val="16"/>
          <w:szCs w:val="16"/>
          <w:lang w:val="fr-CA"/>
        </w:rPr>
        <w:t>fonction  des</w:t>
      </w:r>
      <w:proofErr w:type="gramEnd"/>
      <w:r w:rsidRPr="007D3F78">
        <w:rPr>
          <w:rFonts w:ascii="Lato" w:hAnsi="Lato" w:cstheme="minorHAnsi"/>
          <w:color w:val="000000"/>
          <w:sz w:val="16"/>
          <w:szCs w:val="16"/>
          <w:lang w:val="fr-CA"/>
        </w:rPr>
        <w:t xml:space="preserve"> facteurs de risque mentionnés ci-dessus pour la tuberculose, l'hépatite A, l'hépatite B, l'hépatite C, H. Pylori, et les infections transmissibles sexuellement (ITS) (y compris le VIH</w:t>
      </w:r>
      <w:r w:rsidR="009B2D25" w:rsidRPr="007D3F78">
        <w:rPr>
          <w:rFonts w:ascii="Lato" w:hAnsi="Lato"/>
          <w:sz w:val="16"/>
          <w:szCs w:val="16"/>
        </w:rPr>
        <w:t>)</w:t>
      </w:r>
      <w:r w:rsidR="00A95AC1" w:rsidRPr="007D3F78">
        <w:rPr>
          <w:rFonts w:ascii="Lato" w:hAnsi="Lato"/>
          <w:sz w:val="16"/>
          <w:szCs w:val="16"/>
        </w:rPr>
        <w:t xml:space="preserve"> </w:t>
      </w:r>
    </w:p>
    <w:p w14:paraId="01423361" w14:textId="0274BAC6" w:rsidR="009B2D25" w:rsidRPr="007D3F78" w:rsidRDefault="00964092" w:rsidP="00732486">
      <w:pPr>
        <w:pStyle w:val="Endnote-Bullet-L2"/>
        <w:spacing w:after="0"/>
        <w:rPr>
          <w:rFonts w:ascii="Lato" w:hAnsi="Lato"/>
          <w:sz w:val="16"/>
          <w:szCs w:val="16"/>
        </w:rPr>
      </w:pPr>
      <w:r w:rsidRPr="007D3F78">
        <w:rPr>
          <w:rFonts w:ascii="Lato" w:hAnsi="Lato"/>
          <w:sz w:val="16"/>
          <w:szCs w:val="16"/>
          <w:lang w:val="fr-CA"/>
        </w:rPr>
        <w:t xml:space="preserve">Dans le cadre d'une approche de réduction des risques pour les patients présentant un risque élevé d'exposition aux ITS, y compris au VIH, procéder à un dépistage régulier </w:t>
      </w:r>
      <w:r w:rsidRPr="007D3F78">
        <w:rPr>
          <w:rFonts w:ascii="Lato" w:hAnsi="Lato" w:cstheme="minorHAnsi"/>
          <w:color w:val="000000"/>
          <w:sz w:val="16"/>
          <w:szCs w:val="16"/>
          <w:lang w:val="fr-CA"/>
        </w:rPr>
        <w:t>(tous les 3 mois) et traitez si le résultat des cultures est positif. Donnez des conseils sur les méthodes de réduction des risques et offrez une prophylaxie contre le VIH comme prescrit par les lignes directrices destinées à l’ensemble de la population</w:t>
      </w:r>
      <w:r w:rsidR="002A3572" w:rsidRPr="007D3F78">
        <w:rPr>
          <w:rFonts w:ascii="Lato" w:hAnsi="Lato"/>
          <w:sz w:val="16"/>
          <w:szCs w:val="16"/>
        </w:rPr>
        <w:t>.</w:t>
      </w:r>
    </w:p>
    <w:p w14:paraId="1B0EAC84" w14:textId="3B001221" w:rsidR="00B061E0" w:rsidRPr="00B71D77" w:rsidRDefault="00964092" w:rsidP="00B71D77">
      <w:pPr>
        <w:pStyle w:val="Endnote-Bullet-L1"/>
        <w:spacing w:after="0"/>
        <w:rPr>
          <w:rFonts w:ascii="Lato" w:hAnsi="Lato"/>
          <w:sz w:val="16"/>
          <w:szCs w:val="16"/>
        </w:rPr>
      </w:pPr>
      <w:r w:rsidRPr="007D3F78">
        <w:rPr>
          <w:rFonts w:ascii="Lato" w:hAnsi="Lato" w:cstheme="minorHAnsi"/>
          <w:color w:val="000000"/>
          <w:sz w:val="16"/>
          <w:szCs w:val="16"/>
          <w:lang w:val="fr-CA"/>
        </w:rPr>
        <w:t xml:space="preserve">Fractures de fragilité : évaluez les risques de fracture en effectuant un test de densité minérale osseuse (DMO) chez les hommes et femmes au début de l’âge adulte (adaptez le test de DMO si nécessaire). Offrez des </w:t>
      </w:r>
      <w:proofErr w:type="spellStart"/>
      <w:r w:rsidRPr="007D3F78">
        <w:rPr>
          <w:rFonts w:ascii="Lato" w:hAnsi="Lato" w:cstheme="minorHAnsi"/>
          <w:color w:val="000000"/>
          <w:sz w:val="16"/>
          <w:szCs w:val="16"/>
          <w:lang w:val="fr-CA"/>
        </w:rPr>
        <w:t>recommendations</w:t>
      </w:r>
      <w:proofErr w:type="spellEnd"/>
      <w:r w:rsidRPr="007D3F78">
        <w:rPr>
          <w:rFonts w:ascii="Lato" w:hAnsi="Lato" w:cstheme="minorHAnsi"/>
          <w:color w:val="000000"/>
          <w:sz w:val="16"/>
          <w:szCs w:val="16"/>
          <w:lang w:val="fr-CA"/>
        </w:rPr>
        <w:t xml:space="preserve"> sur la prise quotidienne de vitamine D et de calcium (ne pas donner de suppléments de </w:t>
      </w:r>
      <w:r w:rsidR="00B71D77">
        <w:rPr>
          <w:rFonts w:ascii="Lato" w:hAnsi="Lato"/>
          <w:sz w:val="16"/>
          <w:szCs w:val="16"/>
        </w:rPr>
        <w:br/>
      </w:r>
      <w:r w:rsidR="00B71D77">
        <w:rPr>
          <w:rFonts w:ascii="Lato" w:hAnsi="Lato"/>
          <w:sz w:val="16"/>
          <w:szCs w:val="16"/>
        </w:rPr>
        <w:br/>
      </w:r>
      <w:r w:rsidRPr="00B71D77">
        <w:rPr>
          <w:rFonts w:ascii="Lato" w:hAnsi="Lato" w:cstheme="minorHAnsi"/>
          <w:color w:val="000000"/>
          <w:sz w:val="16"/>
          <w:szCs w:val="16"/>
          <w:lang w:val="fr-CA"/>
        </w:rPr>
        <w:t>calcium aux personnes ayant le syndrome de William</w:t>
      </w:r>
      <w:r w:rsidR="009B2D25" w:rsidRPr="00B71D77">
        <w:rPr>
          <w:rFonts w:ascii="Lato" w:hAnsi="Lato"/>
          <w:sz w:val="16"/>
          <w:szCs w:val="16"/>
        </w:rPr>
        <w:t>)</w:t>
      </w:r>
      <w:r w:rsidR="002A3572" w:rsidRPr="00B71D77">
        <w:rPr>
          <w:rFonts w:ascii="Lato" w:hAnsi="Lato"/>
          <w:sz w:val="16"/>
          <w:szCs w:val="16"/>
        </w:rPr>
        <w:t>.</w:t>
      </w:r>
      <w:r w:rsidR="00A95AC1" w:rsidRPr="00B71D77">
        <w:rPr>
          <w:rFonts w:ascii="Lato" w:hAnsi="Lato"/>
          <w:sz w:val="16"/>
          <w:szCs w:val="16"/>
        </w:rPr>
        <w:t xml:space="preserve"> </w:t>
      </w:r>
    </w:p>
    <w:p w14:paraId="6ADABB07" w14:textId="6146F8B6"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Risques cardiovasculaires : utilisez un calculateur de risque cardiovasculaire afin de déterminer la catégorie de risque du patient (p. ex.,</w:t>
      </w:r>
      <w:r w:rsidRPr="007D3F78">
        <w:rPr>
          <w:rFonts w:ascii="Lato" w:hAnsi="Lato"/>
          <w:sz w:val="16"/>
          <w:szCs w:val="16"/>
          <w:lang w:val="fr-CA"/>
        </w:rPr>
        <w:t xml:space="preserve"> </w:t>
      </w:r>
      <w:r w:rsidRPr="007D3F78">
        <w:rPr>
          <w:rFonts w:ascii="Lato" w:hAnsi="Lato" w:cstheme="minorHAnsi"/>
          <w:color w:val="000000"/>
          <w:sz w:val="16"/>
          <w:szCs w:val="16"/>
          <w:lang w:val="fr-CA"/>
        </w:rPr>
        <w:t>le Score de Risque de Framingham- SRF). Offrez des recommandations et d’autres interventions basées sur les résultats obtenus et en suivant les lignes directrices pour l’ensemble de la population. Vérifiez si la polypharmacie est un risque lorsque vous prescrivez des médicaments de prévention primaire</w:t>
      </w:r>
      <w:r w:rsidR="002A3572" w:rsidRPr="007D3F78">
        <w:rPr>
          <w:rFonts w:ascii="Lato" w:hAnsi="Lato"/>
          <w:sz w:val="16"/>
          <w:szCs w:val="16"/>
        </w:rPr>
        <w:t>.</w:t>
      </w:r>
    </w:p>
    <w:p w14:paraId="003CA322" w14:textId="4C279666" w:rsidR="00A95AC1" w:rsidRPr="007D3F78" w:rsidRDefault="00964092" w:rsidP="001A51DF">
      <w:pPr>
        <w:pStyle w:val="Endnote-Bullet-L1"/>
        <w:rPr>
          <w:rFonts w:ascii="Lato" w:hAnsi="Lato"/>
          <w:sz w:val="16"/>
          <w:szCs w:val="16"/>
        </w:rPr>
      </w:pPr>
      <w:r w:rsidRPr="007D3F78">
        <w:rPr>
          <w:rFonts w:ascii="Lato" w:hAnsi="Lato" w:cstheme="minorHAnsi"/>
          <w:color w:val="000000"/>
          <w:sz w:val="16"/>
          <w:szCs w:val="16"/>
          <w:lang w:val="fr-CA"/>
        </w:rPr>
        <w:t>Santé Mentale : Chaque année, dépistez les cas d’abus, d'exploitation, de négligence et de dépendance, ou lorsque vous observez des changements au niveau du fonctionnement ou du comportement</w:t>
      </w:r>
      <w:r w:rsidR="002A3572" w:rsidRPr="007D3F78">
        <w:rPr>
          <w:rFonts w:ascii="Lato" w:hAnsi="Lato"/>
          <w:sz w:val="16"/>
          <w:szCs w:val="16"/>
        </w:rPr>
        <w:t>.</w:t>
      </w:r>
      <w:r w:rsidR="00A95AC1" w:rsidRPr="007D3F78">
        <w:rPr>
          <w:rFonts w:ascii="Lato" w:hAnsi="Lato"/>
          <w:sz w:val="16"/>
          <w:szCs w:val="16"/>
        </w:rPr>
        <w:t xml:space="preserve"> </w:t>
      </w:r>
    </w:p>
  </w:endnote>
  <w:endnote w:id="52">
    <w:p w14:paraId="25A9F156" w14:textId="03EB7A74" w:rsidR="00A95AC1" w:rsidRDefault="00A95AC1" w:rsidP="0069631F">
      <w:pPr>
        <w:pStyle w:val="Endnote-H4"/>
        <w:spacing w:after="0"/>
      </w:pPr>
      <w:r>
        <w:rPr>
          <w:rStyle w:val="EndnoteReference"/>
        </w:rPr>
        <w:endnoteRef/>
      </w:r>
      <w:r>
        <w:t xml:space="preserve"> </w:t>
      </w:r>
      <w:r w:rsidR="00964092">
        <w:rPr>
          <w:rFonts w:cstheme="minorHAnsi"/>
          <w:color w:val="000000"/>
        </w:rPr>
        <w:t xml:space="preserve">Vaccination </w:t>
      </w:r>
      <w:proofErr w:type="spellStart"/>
      <w:r w:rsidR="00964092">
        <w:rPr>
          <w:rFonts w:cstheme="minorHAnsi"/>
          <w:color w:val="000000"/>
        </w:rPr>
        <w:t>requise</w:t>
      </w:r>
      <w:proofErr w:type="spellEnd"/>
    </w:p>
    <w:p w14:paraId="44E01FF0" w14:textId="1973D0A8" w:rsidR="00A95AC1" w:rsidRPr="007D3F78" w:rsidRDefault="00964092" w:rsidP="005B59AB">
      <w:pPr>
        <w:pStyle w:val="Endnote-Bullet-L1"/>
        <w:rPr>
          <w:rFonts w:ascii="Lato" w:hAnsi="Lato"/>
          <w:sz w:val="16"/>
          <w:szCs w:val="16"/>
        </w:rPr>
      </w:pPr>
      <w:r w:rsidRPr="007D3F78">
        <w:rPr>
          <w:rFonts w:ascii="Lato" w:hAnsi="Lato" w:cstheme="minorHAnsi"/>
          <w:color w:val="000000"/>
          <w:sz w:val="16"/>
          <w:szCs w:val="16"/>
          <w:lang w:val="fr-CA"/>
        </w:rPr>
        <w:t xml:space="preserve">Vaccinez en tenant compte du statut immunologique et des facteurs de risque identifiés pour : la rubéole, le tétanos, la coqueluche, l'influenza, le streptococcus </w:t>
      </w:r>
      <w:proofErr w:type="spellStart"/>
      <w:r w:rsidRPr="007D3F78">
        <w:rPr>
          <w:rFonts w:ascii="Lato" w:hAnsi="Lato" w:cstheme="minorHAnsi"/>
          <w:color w:val="000000"/>
          <w:sz w:val="16"/>
          <w:szCs w:val="16"/>
          <w:lang w:val="fr-CA"/>
        </w:rPr>
        <w:t>pneumoniae</w:t>
      </w:r>
      <w:proofErr w:type="spellEnd"/>
      <w:r w:rsidRPr="007D3F78">
        <w:rPr>
          <w:rFonts w:ascii="Lato" w:hAnsi="Lato" w:cstheme="minorHAnsi"/>
          <w:color w:val="000000"/>
          <w:sz w:val="16"/>
          <w:szCs w:val="16"/>
          <w:lang w:val="fr-CA"/>
        </w:rPr>
        <w:t xml:space="preserve">, l'hépatite A, l'hépatite B, la varicelle, l'herpès </w:t>
      </w:r>
      <w:proofErr w:type="spellStart"/>
      <w:r w:rsidRPr="007D3F78">
        <w:rPr>
          <w:rFonts w:ascii="Lato" w:hAnsi="Lato" w:cstheme="minorHAnsi"/>
          <w:color w:val="000000"/>
          <w:sz w:val="16"/>
          <w:szCs w:val="16"/>
          <w:lang w:val="fr-CA"/>
        </w:rPr>
        <w:t>zoster</w:t>
      </w:r>
      <w:proofErr w:type="spellEnd"/>
      <w:r w:rsidRPr="007D3F78">
        <w:rPr>
          <w:rFonts w:ascii="Lato" w:hAnsi="Lato" w:cstheme="minorHAnsi"/>
          <w:color w:val="000000"/>
          <w:sz w:val="16"/>
          <w:szCs w:val="16"/>
          <w:lang w:val="fr-CA"/>
        </w:rPr>
        <w:t xml:space="preserve"> (le zona), le virus du papillome humain (VPH</w:t>
      </w:r>
      <w:r w:rsidR="00A95AC1" w:rsidRPr="007D3F78">
        <w:rPr>
          <w:rFonts w:ascii="Lato" w:hAnsi="Lato"/>
          <w:sz w:val="16"/>
          <w:szCs w:val="16"/>
        </w:rPr>
        <w:t>.</w:t>
      </w:r>
    </w:p>
  </w:endnote>
  <w:endnote w:id="53">
    <w:p w14:paraId="67D05505" w14:textId="6209AFB8" w:rsidR="00A95AC1" w:rsidRDefault="00A95AC1" w:rsidP="0069631F">
      <w:pPr>
        <w:pStyle w:val="Endnote-H4"/>
        <w:spacing w:after="0"/>
      </w:pPr>
      <w:r>
        <w:rPr>
          <w:rStyle w:val="EndnoteReference"/>
        </w:rPr>
        <w:endnoteRef/>
      </w:r>
      <w:r>
        <w:t xml:space="preserve"> </w:t>
      </w:r>
      <w:r w:rsidR="00964092">
        <w:rPr>
          <w:rFonts w:cstheme="minorHAnsi"/>
          <w:color w:val="000000"/>
        </w:rPr>
        <w:t xml:space="preserve">Consultations </w:t>
      </w:r>
      <w:proofErr w:type="spellStart"/>
      <w:r w:rsidR="00964092">
        <w:rPr>
          <w:rFonts w:cstheme="minorHAnsi"/>
          <w:color w:val="000000"/>
        </w:rPr>
        <w:t>requises</w:t>
      </w:r>
      <w:proofErr w:type="spellEnd"/>
    </w:p>
    <w:p w14:paraId="3E5AA238" w14:textId="32E9F0FA"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Soutien ou deuxième avis au sujet de problèmes médicaux : autres médecins de famille, infirmières praticiennes ou infirmières de votre région ayant un intérêt particulier pour les DID</w:t>
      </w:r>
      <w:r w:rsidR="00A95AC1" w:rsidRPr="007D3F78">
        <w:rPr>
          <w:rFonts w:ascii="Lato" w:hAnsi="Lato"/>
          <w:sz w:val="16"/>
          <w:szCs w:val="16"/>
        </w:rPr>
        <w:t xml:space="preserve"> </w:t>
      </w:r>
    </w:p>
    <w:p w14:paraId="360E0C6C" w14:textId="45870F9B"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L'étiologie des DID, les facteurs de risque génétiques : génétique</w:t>
      </w:r>
      <w:r w:rsidR="00A95AC1" w:rsidRPr="007D3F78">
        <w:rPr>
          <w:rFonts w:ascii="Lato" w:hAnsi="Lato"/>
          <w:sz w:val="16"/>
          <w:szCs w:val="16"/>
        </w:rPr>
        <w:t xml:space="preserve"> </w:t>
      </w:r>
    </w:p>
    <w:p w14:paraId="53FF490D" w14:textId="09BA618F"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La santé mentale, l’utilisation de médicaments psychotropes : psychiatrie</w:t>
      </w:r>
      <w:r w:rsidR="00A95AC1" w:rsidRPr="007D3F78">
        <w:rPr>
          <w:rFonts w:ascii="Lato" w:hAnsi="Lato"/>
          <w:sz w:val="16"/>
          <w:szCs w:val="16"/>
        </w:rPr>
        <w:t xml:space="preserve"> </w:t>
      </w:r>
    </w:p>
    <w:p w14:paraId="03A24BF2" w14:textId="214EAEF3"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La polypharmacie, multiples prescripteurs : pharmacie</w:t>
      </w:r>
      <w:r w:rsidR="00A95AC1" w:rsidRPr="007D3F78">
        <w:rPr>
          <w:rFonts w:ascii="Lato" w:hAnsi="Lato"/>
          <w:sz w:val="16"/>
          <w:szCs w:val="16"/>
        </w:rPr>
        <w:t xml:space="preserve"> </w:t>
      </w:r>
    </w:p>
    <w:p w14:paraId="04483CB0" w14:textId="63D0FDB5"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Audition : audiologie</w:t>
      </w:r>
      <w:r w:rsidR="00A95AC1" w:rsidRPr="007D3F78">
        <w:rPr>
          <w:rFonts w:ascii="Lato" w:hAnsi="Lato"/>
          <w:sz w:val="16"/>
          <w:szCs w:val="16"/>
        </w:rPr>
        <w:t xml:space="preserve"> </w:t>
      </w:r>
    </w:p>
    <w:p w14:paraId="624CE123" w14:textId="2CCCF5DD"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Communication, déglutition : orthophonie</w:t>
      </w:r>
    </w:p>
    <w:p w14:paraId="3A65D435" w14:textId="6FAF7B11"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Aptitudes intellectuelles : psychologie</w:t>
      </w:r>
      <w:r w:rsidR="00A95AC1" w:rsidRPr="007D3F78">
        <w:rPr>
          <w:rFonts w:ascii="Lato" w:hAnsi="Lato"/>
          <w:sz w:val="16"/>
          <w:szCs w:val="16"/>
        </w:rPr>
        <w:t xml:space="preserve"> </w:t>
      </w:r>
    </w:p>
    <w:p w14:paraId="6F8ABC95" w14:textId="741BF0AF"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Changement de mobilité, augmentation des chutes, équilibre : physiatrie, physiothérapie</w:t>
      </w:r>
      <w:r w:rsidR="00A95AC1" w:rsidRPr="007D3F78">
        <w:rPr>
          <w:rFonts w:ascii="Lato" w:hAnsi="Lato"/>
          <w:sz w:val="16"/>
          <w:szCs w:val="16"/>
        </w:rPr>
        <w:t xml:space="preserve"> </w:t>
      </w:r>
    </w:p>
    <w:p w14:paraId="38719D56" w14:textId="016478DD"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Équipement de sécurité pour la maison et la communauté; résolution de problèmes pour les activités de la vie quotidienne et les activités instrumentales de la vie quotidienne : ergothérapie</w:t>
      </w:r>
      <w:r w:rsidR="00A95AC1" w:rsidRPr="007D3F78">
        <w:rPr>
          <w:rFonts w:ascii="Lato" w:hAnsi="Lato"/>
          <w:sz w:val="16"/>
          <w:szCs w:val="16"/>
        </w:rPr>
        <w:t xml:space="preserve"> </w:t>
      </w:r>
    </w:p>
    <w:p w14:paraId="79ADB3CC" w14:textId="5BA441A9"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Évaluation du comportement : thérapie comportementale</w:t>
      </w:r>
      <w:r w:rsidR="00A95AC1" w:rsidRPr="007D3F78">
        <w:rPr>
          <w:rFonts w:ascii="Lato" w:hAnsi="Lato"/>
          <w:sz w:val="16"/>
          <w:szCs w:val="16"/>
        </w:rPr>
        <w:t xml:space="preserve"> </w:t>
      </w:r>
    </w:p>
    <w:p w14:paraId="17D784DC" w14:textId="25A7EC4F"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Stress de l’aidant, optimisation des revenus, orientation des services : travail social</w:t>
      </w:r>
      <w:r w:rsidR="00A95AC1" w:rsidRPr="007D3F78">
        <w:rPr>
          <w:rFonts w:ascii="Lato" w:hAnsi="Lato"/>
          <w:sz w:val="16"/>
          <w:szCs w:val="16"/>
        </w:rPr>
        <w:t xml:space="preserve"> </w:t>
      </w:r>
    </w:p>
    <w:p w14:paraId="4210A731" w14:textId="737C33CE" w:rsidR="00A95AC1" w:rsidRPr="007D3F78" w:rsidRDefault="00964092" w:rsidP="00732486">
      <w:pPr>
        <w:pStyle w:val="Endnote-Bullet-L1"/>
        <w:spacing w:after="0"/>
        <w:rPr>
          <w:rFonts w:ascii="Lato" w:hAnsi="Lato"/>
          <w:sz w:val="16"/>
          <w:szCs w:val="16"/>
        </w:rPr>
      </w:pPr>
      <w:r w:rsidRPr="007D3F78">
        <w:rPr>
          <w:rFonts w:ascii="Lato" w:hAnsi="Lato" w:cstheme="minorHAnsi"/>
          <w:color w:val="000000"/>
          <w:sz w:val="16"/>
          <w:szCs w:val="16"/>
          <w:lang w:val="fr-CA"/>
        </w:rPr>
        <w:t>Nutrition et poids : diététicien</w:t>
      </w:r>
    </w:p>
    <w:p w14:paraId="13EAD048" w14:textId="3E8FAD52" w:rsidR="00A95AC1" w:rsidRPr="007D3F78" w:rsidRDefault="00964092" w:rsidP="0069631F">
      <w:pPr>
        <w:pStyle w:val="Endnote-Bullet-L1"/>
        <w:spacing w:after="0"/>
        <w:rPr>
          <w:rFonts w:ascii="Lato" w:hAnsi="Lato"/>
          <w:sz w:val="16"/>
          <w:szCs w:val="16"/>
        </w:rPr>
      </w:pPr>
      <w:r w:rsidRPr="007D3F78">
        <w:rPr>
          <w:rFonts w:ascii="Lato" w:hAnsi="Lato" w:cstheme="minorHAnsi"/>
          <w:color w:val="000000"/>
          <w:sz w:val="16"/>
          <w:szCs w:val="16"/>
          <w:lang w:val="fr-CA"/>
        </w:rPr>
        <w:t>Problèmes de pieds : podiatres, podologues, infirmières en soins des pieds</w:t>
      </w:r>
    </w:p>
    <w:p w14:paraId="1D1A9DAF" w14:textId="209D6B05" w:rsidR="00A95AC1" w:rsidRPr="007D3F78" w:rsidRDefault="00964092" w:rsidP="00490609">
      <w:pPr>
        <w:pStyle w:val="Endnote-Context"/>
        <w:rPr>
          <w:rFonts w:ascii="Lato" w:hAnsi="Lato"/>
          <w:sz w:val="16"/>
          <w:szCs w:val="16"/>
        </w:rPr>
      </w:pPr>
      <w:r w:rsidRPr="007D3F78">
        <w:rPr>
          <w:rFonts w:ascii="Lato" w:hAnsi="Lato" w:cstheme="minorHAnsi"/>
          <w:color w:val="000000"/>
          <w:sz w:val="16"/>
          <w:szCs w:val="16"/>
          <w:lang w:val="fr-CA"/>
        </w:rPr>
        <w:t>Vous n'avez pas à gérer tous les problèmes par vous-même. Envisagez d'aiguiller le patient vers des collaborateurs pertinents de votre communauté</w:t>
      </w:r>
      <w:r w:rsidR="00A95AC1" w:rsidRPr="007D3F78">
        <w:rPr>
          <w:rFonts w:ascii="Lato" w:hAnsi="Lato"/>
          <w:sz w:val="16"/>
          <w:szCs w:val="16"/>
        </w:rPr>
        <w:t>.</w:t>
      </w:r>
    </w:p>
    <w:p w14:paraId="211FF959" w14:textId="2E6A8AF5" w:rsidR="00A95AC1" w:rsidRPr="007D3F78" w:rsidRDefault="00964092" w:rsidP="00490609">
      <w:pPr>
        <w:pStyle w:val="Endnote-Context"/>
        <w:rPr>
          <w:rFonts w:ascii="Lato" w:hAnsi="Lato"/>
          <w:sz w:val="16"/>
          <w:szCs w:val="16"/>
        </w:rPr>
      </w:pPr>
      <w:r w:rsidRPr="007D3F78">
        <w:rPr>
          <w:rFonts w:ascii="Lato" w:hAnsi="Lato" w:cstheme="minorHAnsi"/>
          <w:color w:val="000000"/>
          <w:sz w:val="16"/>
          <w:szCs w:val="16"/>
          <w:lang w:val="fr-CA"/>
        </w:rPr>
        <w:t>Élaborez ou soutenez la mise sur pied d’une équipe de soins de santé intégrée composée de professionnels qui sont de préférence familiers avec la réalité des adultes ayant des DID</w:t>
      </w:r>
      <w:r w:rsidR="00A95AC1" w:rsidRPr="007D3F78">
        <w:rPr>
          <w:rFonts w:ascii="Lato" w:hAnsi="Lato"/>
          <w:sz w:val="16"/>
          <w:szCs w:val="16"/>
        </w:rPr>
        <w:t xml:space="preserve">. </w:t>
      </w:r>
    </w:p>
    <w:p w14:paraId="6DDBFAC6" w14:textId="31FBCC82" w:rsidR="00A95AC1" w:rsidRPr="007D3F78" w:rsidRDefault="00964092" w:rsidP="00490609">
      <w:pPr>
        <w:pStyle w:val="Endnote-Context"/>
        <w:rPr>
          <w:rFonts w:ascii="Lato" w:hAnsi="Lato"/>
          <w:sz w:val="16"/>
          <w:szCs w:val="16"/>
        </w:rPr>
      </w:pPr>
      <w:r w:rsidRPr="007D3F78">
        <w:rPr>
          <w:rFonts w:ascii="Lato" w:hAnsi="Lato" w:cstheme="minorHAnsi"/>
          <w:color w:val="000000"/>
          <w:sz w:val="16"/>
          <w:szCs w:val="16"/>
          <w:lang w:val="fr-CA"/>
        </w:rPr>
        <w:t>Nommez un leader qui veillera à la coordination de l'équipe et qui intègrera la contribution des membres de l'équipe</w:t>
      </w:r>
      <w:r w:rsidR="00A95AC1" w:rsidRPr="007D3F78">
        <w:rPr>
          <w:rFonts w:ascii="Lato" w:hAnsi="Lato"/>
          <w:sz w:val="16"/>
          <w:szCs w:val="16"/>
        </w:rPr>
        <w:t>.</w:t>
      </w:r>
    </w:p>
  </w:endnote>
  <w:endnote w:id="54">
    <w:p w14:paraId="7C0DCAFF" w14:textId="357F02CA" w:rsidR="00A95AC1" w:rsidRDefault="00A95AC1" w:rsidP="0069631F">
      <w:pPr>
        <w:pStyle w:val="Endnote-H4"/>
        <w:spacing w:after="0"/>
      </w:pPr>
      <w:r>
        <w:rPr>
          <w:rStyle w:val="EndnoteReference"/>
        </w:rPr>
        <w:endnoteRef/>
      </w:r>
      <w:r>
        <w:t xml:space="preserve"> </w:t>
      </w:r>
      <w:r w:rsidR="00964092">
        <w:rPr>
          <w:rFonts w:cstheme="minorHAnsi"/>
          <w:color w:val="000000"/>
          <w:lang w:val="fr-CA"/>
        </w:rPr>
        <w:t>Outils de surveillance des symptômes</w:t>
      </w:r>
    </w:p>
    <w:p w14:paraId="25D71BC9" w14:textId="0CC45229" w:rsidR="00B061E0" w:rsidRPr="00B71D77" w:rsidRDefault="00964092" w:rsidP="00FE0DD2">
      <w:pPr>
        <w:pStyle w:val="Endnote-Context"/>
        <w:spacing w:after="0"/>
        <w:rPr>
          <w:rFonts w:ascii="Lato" w:hAnsi="Lato"/>
          <w:sz w:val="16"/>
          <w:szCs w:val="16"/>
        </w:rPr>
      </w:pPr>
      <w:r w:rsidRPr="007D3F78">
        <w:rPr>
          <w:rFonts w:ascii="Lato" w:hAnsi="Lato" w:cstheme="minorHAnsi"/>
          <w:color w:val="000000"/>
          <w:sz w:val="16"/>
          <w:szCs w:val="16"/>
          <w:lang w:val="fr-CA"/>
        </w:rPr>
        <w:t xml:space="preserve">Le Programme de soins </w:t>
      </w:r>
      <w:r w:rsidRPr="007D3F78">
        <w:rPr>
          <w:rFonts w:ascii="Lato" w:hAnsi="Lato" w:cstheme="minorHAnsi"/>
          <w:noProof/>
          <w:sz w:val="16"/>
          <w:szCs w:val="16"/>
          <w:lang w:val="fr-CA"/>
        </w:rPr>
        <w:t>primaires aux adultes ayant une déficience intellectuelle</w:t>
      </w:r>
      <w:r w:rsidRPr="007D3F78">
        <w:rPr>
          <w:rFonts w:ascii="Lato" w:hAnsi="Lato" w:cstheme="minorHAnsi"/>
          <w:color w:val="000000"/>
          <w:sz w:val="16"/>
          <w:szCs w:val="16"/>
          <w:lang w:val="fr-CA"/>
        </w:rPr>
        <w:t xml:space="preserve"> offre des tableaux de surveillance pour les patients et les aidants, p. ex., pour surveiller les mouvements intestinaux et les crises d’</w:t>
      </w:r>
      <w:proofErr w:type="spellStart"/>
      <w:r w:rsidRPr="007D3F78">
        <w:rPr>
          <w:rFonts w:ascii="Lato" w:hAnsi="Lato" w:cstheme="minorHAnsi"/>
          <w:color w:val="000000"/>
          <w:sz w:val="16"/>
          <w:szCs w:val="16"/>
          <w:lang w:val="fr-CA"/>
        </w:rPr>
        <w:t>pilepsie</w:t>
      </w:r>
      <w:proofErr w:type="spellEnd"/>
      <w:r w:rsidRPr="007D3F78">
        <w:rPr>
          <w:rFonts w:ascii="Lato" w:hAnsi="Lato" w:cstheme="minorHAnsi"/>
          <w:color w:val="000000"/>
          <w:sz w:val="16"/>
          <w:szCs w:val="16"/>
          <w:lang w:val="fr-CA"/>
        </w:rPr>
        <w:t>. Il pourrait être utile de fournir ces tableaux aux patients et aux personnes aidantes afin de surveiller un problème identifié pendant l'Examen de santé et se préparer un rendez-vous de suivi</w:t>
      </w:r>
      <w:r w:rsidR="00A95AC1" w:rsidRPr="007D3F78">
        <w:rPr>
          <w:rFonts w:ascii="Lato" w:hAnsi="Lato"/>
          <w:sz w:val="16"/>
          <w:szCs w:val="16"/>
        </w:rPr>
        <w:t>.</w:t>
      </w:r>
    </w:p>
    <w:p w14:paraId="0B8E09A7" w14:textId="2A4074EE" w:rsidR="00A95AC1" w:rsidRPr="007D3F78" w:rsidRDefault="00964092" w:rsidP="0069631F">
      <w:pPr>
        <w:pStyle w:val="Endnote-H5"/>
        <w:spacing w:after="0"/>
        <w:rPr>
          <w:rFonts w:ascii="Lato" w:hAnsi="Lato"/>
          <w:sz w:val="16"/>
          <w:szCs w:val="16"/>
        </w:rPr>
      </w:pPr>
      <w:r w:rsidRPr="007D3F78">
        <w:rPr>
          <w:rFonts w:ascii="Lato" w:hAnsi="Lato"/>
          <w:sz w:val="16"/>
          <w:szCs w:val="16"/>
          <w:lang w:val="fr-CA"/>
        </w:rPr>
        <w:t>OUTILS POUR LA PRATIQUE</w:t>
      </w:r>
    </w:p>
    <w:p w14:paraId="63150117" w14:textId="73B7D7F3" w:rsidR="00A95AC1" w:rsidRPr="007D3F78" w:rsidRDefault="00000000" w:rsidP="0069631F">
      <w:pPr>
        <w:pStyle w:val="Endnote-Link"/>
        <w:spacing w:after="0"/>
        <w:rPr>
          <w:rFonts w:ascii="Lato" w:hAnsi="Lato"/>
          <w:sz w:val="16"/>
          <w:szCs w:val="16"/>
        </w:rPr>
      </w:pPr>
      <w:hyperlink r:id="rId44" w:history="1">
        <w:r w:rsidR="00964092" w:rsidRPr="007D3F78">
          <w:rPr>
            <w:rStyle w:val="Hyperlink"/>
            <w:rFonts w:ascii="Lato" w:hAnsi="Lato"/>
            <w:sz w:val="16"/>
            <w:szCs w:val="16"/>
            <w:lang w:val="fr-CA"/>
          </w:rPr>
          <w:t>Tableaux de surveillance</w:t>
        </w:r>
        <w:r w:rsidR="00964092" w:rsidRPr="007D3F78">
          <w:rPr>
            <w:rStyle w:val="Hyperlink"/>
            <w:rFonts w:ascii="Lato" w:hAnsi="Lato"/>
            <w:sz w:val="16"/>
            <w:szCs w:val="16"/>
            <w:lang w:val="en-US"/>
          </w:rPr>
          <w:t xml:space="preserve"> </w:t>
        </w:r>
      </w:hyperlink>
    </w:p>
    <w:p w14:paraId="0A2A4499" w14:textId="54646C36" w:rsidR="00A95AC1" w:rsidRPr="007D3F78" w:rsidRDefault="00000000" w:rsidP="00490609">
      <w:pPr>
        <w:pStyle w:val="Endnote-Link"/>
        <w:rPr>
          <w:rFonts w:ascii="Lato" w:hAnsi="Lato"/>
          <w:sz w:val="16"/>
          <w:szCs w:val="16"/>
        </w:rPr>
      </w:pPr>
      <w:hyperlink r:id="rId45" w:history="1">
        <w:r w:rsidR="00964092" w:rsidRPr="007D3F78">
          <w:rPr>
            <w:rStyle w:val="Hyperlink"/>
            <w:rFonts w:ascii="Lato" w:hAnsi="Lato"/>
            <w:sz w:val="16"/>
            <w:szCs w:val="16"/>
            <w:lang w:val="fr-CA"/>
          </w:rPr>
          <w:t>Épilepsie</w:t>
        </w:r>
      </w:hyperlink>
    </w:p>
  </w:endnote>
  <w:endnote w:id="55">
    <w:p w14:paraId="2DB421D4" w14:textId="3CD60327" w:rsidR="00A95AC1" w:rsidRDefault="00A95AC1" w:rsidP="0069631F">
      <w:pPr>
        <w:pStyle w:val="Endnote-H4"/>
        <w:spacing w:after="0"/>
      </w:pPr>
      <w:r>
        <w:rPr>
          <w:rStyle w:val="EndnoteReference"/>
        </w:rPr>
        <w:endnoteRef/>
      </w:r>
      <w:r>
        <w:t xml:space="preserve"> </w:t>
      </w:r>
      <w:r w:rsidR="00964092">
        <w:rPr>
          <w:rFonts w:cstheme="minorHAnsi"/>
          <w:color w:val="000000"/>
          <w:lang w:val="fr-CA"/>
        </w:rPr>
        <w:t>Matériel éducatif pour le patient et l’aidant</w:t>
      </w:r>
    </w:p>
    <w:p w14:paraId="147D1672" w14:textId="4E04770A" w:rsidR="00A95AC1" w:rsidRPr="007D3F78" w:rsidRDefault="00964092" w:rsidP="0069631F">
      <w:pPr>
        <w:pStyle w:val="Endnote-H5"/>
        <w:spacing w:after="0"/>
        <w:rPr>
          <w:rFonts w:ascii="Lato" w:hAnsi="Lato"/>
          <w:sz w:val="16"/>
          <w:szCs w:val="16"/>
        </w:rPr>
      </w:pPr>
      <w:r w:rsidRPr="007D3F78">
        <w:rPr>
          <w:rFonts w:ascii="Lato" w:hAnsi="Lato" w:cstheme="minorHAnsi"/>
          <w:color w:val="000000"/>
          <w:sz w:val="16"/>
          <w:szCs w:val="16"/>
          <w:lang w:val="fr-CA"/>
        </w:rPr>
        <w:t>OUTILS POUR LA PRATIQUE</w:t>
      </w:r>
    </w:p>
    <w:p w14:paraId="648CB41F" w14:textId="6D2BAD34" w:rsidR="00A95AC1" w:rsidRPr="007D3F78" w:rsidRDefault="00964092" w:rsidP="00490609">
      <w:pPr>
        <w:pStyle w:val="Endnote-Link"/>
        <w:rPr>
          <w:rFonts w:ascii="Lato" w:hAnsi="Lato"/>
          <w:b/>
          <w:strike/>
          <w:sz w:val="16"/>
          <w:szCs w:val="16"/>
          <w:lang w:val="en-US"/>
        </w:rPr>
      </w:pPr>
      <w:r w:rsidRPr="007D3F78">
        <w:rPr>
          <w:rFonts w:ascii="Lato" w:hAnsi="Lato" w:cstheme="minorHAnsi"/>
          <w:color w:val="000000"/>
          <w:sz w:val="16"/>
          <w:szCs w:val="16"/>
          <w:lang w:val="fr-CA"/>
        </w:rPr>
        <w:t xml:space="preserve">Exemples: Des brochures de santé faciles à lire (en anglais) sont accessibles sur le site </w:t>
      </w:r>
      <w:proofErr w:type="spellStart"/>
      <w:r w:rsidRPr="007D3F78">
        <w:rPr>
          <w:rFonts w:ascii="Lato" w:hAnsi="Lato" w:cstheme="minorHAnsi"/>
          <w:color w:val="000000"/>
          <w:sz w:val="16"/>
          <w:szCs w:val="16"/>
          <w:lang w:val="fr-CA"/>
        </w:rPr>
        <w:t>Easy</w:t>
      </w:r>
      <w:proofErr w:type="spellEnd"/>
      <w:r w:rsidRPr="007D3F78">
        <w:rPr>
          <w:rFonts w:ascii="Lato" w:hAnsi="Lato" w:cstheme="minorHAnsi"/>
          <w:color w:val="000000"/>
          <w:sz w:val="16"/>
          <w:szCs w:val="16"/>
          <w:lang w:val="fr-CA"/>
        </w:rPr>
        <w:t xml:space="preserve"> </w:t>
      </w:r>
      <w:proofErr w:type="spellStart"/>
      <w:r w:rsidRPr="007D3F78">
        <w:rPr>
          <w:rFonts w:ascii="Lato" w:hAnsi="Lato" w:cstheme="minorHAnsi"/>
          <w:color w:val="000000"/>
          <w:sz w:val="16"/>
          <w:szCs w:val="16"/>
          <w:lang w:val="fr-CA"/>
        </w:rPr>
        <w:t>Health</w:t>
      </w:r>
      <w:proofErr w:type="spellEnd"/>
      <w:r w:rsidRPr="007D3F78">
        <w:rPr>
          <w:rFonts w:ascii="Lato" w:hAnsi="Lato" w:cstheme="minorHAnsi"/>
          <w:color w:val="000000"/>
          <w:sz w:val="16"/>
          <w:szCs w:val="16"/>
          <w:lang w:val="fr-CA"/>
        </w:rPr>
        <w:t xml:space="preserve">, de </w:t>
      </w:r>
      <w:proofErr w:type="spellStart"/>
      <w:r w:rsidRPr="007D3F78">
        <w:rPr>
          <w:rFonts w:ascii="Lato" w:hAnsi="Lato" w:cstheme="minorHAnsi"/>
          <w:color w:val="000000"/>
          <w:sz w:val="16"/>
          <w:szCs w:val="16"/>
          <w:lang w:val="fr-CA"/>
        </w:rPr>
        <w:t>EasyHealth</w:t>
      </w:r>
      <w:proofErr w:type="spellEnd"/>
      <w:r w:rsidRPr="007D3F78">
        <w:rPr>
          <w:rFonts w:ascii="Lato" w:hAnsi="Lato" w:cstheme="minorHAnsi"/>
          <w:color w:val="000000"/>
          <w:sz w:val="16"/>
          <w:szCs w:val="16"/>
          <w:lang w:val="fr-CA"/>
        </w:rPr>
        <w:t xml:space="preserve">, </w:t>
      </w:r>
      <w:proofErr w:type="spellStart"/>
      <w:r w:rsidRPr="007D3F78">
        <w:rPr>
          <w:rFonts w:ascii="Lato" w:hAnsi="Lato" w:cstheme="minorHAnsi"/>
          <w:color w:val="000000"/>
          <w:sz w:val="16"/>
          <w:szCs w:val="16"/>
          <w:lang w:val="fr-CA"/>
        </w:rPr>
        <w:t>Generate</w:t>
      </w:r>
      <w:proofErr w:type="spellEnd"/>
      <w:r w:rsidRPr="007D3F78">
        <w:rPr>
          <w:rFonts w:ascii="Lato" w:hAnsi="Lato" w:cstheme="minorHAnsi"/>
          <w:color w:val="000000"/>
          <w:sz w:val="16"/>
          <w:szCs w:val="16"/>
          <w:lang w:val="fr-CA"/>
        </w:rPr>
        <w:t xml:space="preserve"> </w:t>
      </w:r>
      <w:proofErr w:type="spellStart"/>
      <w:r w:rsidRPr="007D3F78">
        <w:rPr>
          <w:rFonts w:ascii="Lato" w:hAnsi="Lato" w:cstheme="minorHAnsi"/>
          <w:color w:val="000000"/>
          <w:sz w:val="16"/>
          <w:szCs w:val="16"/>
          <w:lang w:val="fr-CA"/>
        </w:rPr>
        <w:t>Opportunities</w:t>
      </w:r>
      <w:proofErr w:type="spellEnd"/>
      <w:r w:rsidRPr="007D3F78">
        <w:rPr>
          <w:rFonts w:ascii="Lato" w:hAnsi="Lato" w:cstheme="minorHAnsi"/>
          <w:color w:val="000000"/>
          <w:sz w:val="16"/>
          <w:szCs w:val="16"/>
          <w:lang w:val="fr-CA"/>
        </w:rPr>
        <w:t xml:space="preserve"> Ltd., Royaume-Uni (UK) ou au Programme de recherche sur l'accès aux soins de santé et la déficience intellectuelle (</w:t>
      </w:r>
      <w:proofErr w:type="spellStart"/>
      <w:r w:rsidRPr="007D3F78">
        <w:rPr>
          <w:rFonts w:ascii="Lato" w:hAnsi="Lato" w:cstheme="minorHAnsi"/>
          <w:color w:val="000000"/>
          <w:sz w:val="16"/>
          <w:szCs w:val="16"/>
          <w:lang w:val="fr-CA"/>
        </w:rPr>
        <w:t>Health</w:t>
      </w:r>
      <w:proofErr w:type="spellEnd"/>
      <w:r w:rsidRPr="007D3F78">
        <w:rPr>
          <w:rFonts w:ascii="Lato" w:hAnsi="Lato" w:cstheme="minorHAnsi"/>
          <w:color w:val="000000"/>
          <w:sz w:val="16"/>
          <w:szCs w:val="16"/>
          <w:lang w:val="fr-CA"/>
        </w:rPr>
        <w:t xml:space="preserve"> Care Access </w:t>
      </w:r>
      <w:proofErr w:type="spellStart"/>
      <w:r w:rsidRPr="007D3F78">
        <w:rPr>
          <w:rFonts w:ascii="Lato" w:hAnsi="Lato" w:cstheme="minorHAnsi"/>
          <w:color w:val="000000"/>
          <w:sz w:val="16"/>
          <w:szCs w:val="16"/>
          <w:lang w:val="fr-CA"/>
        </w:rPr>
        <w:t>Research</w:t>
      </w:r>
      <w:proofErr w:type="spellEnd"/>
      <w:r w:rsidRPr="007D3F78">
        <w:rPr>
          <w:rFonts w:ascii="Lato" w:hAnsi="Lato" w:cstheme="minorHAnsi"/>
          <w:color w:val="000000"/>
          <w:sz w:val="16"/>
          <w:szCs w:val="16"/>
          <w:lang w:val="fr-CA"/>
        </w:rPr>
        <w:t xml:space="preserve"> and </w:t>
      </w:r>
      <w:proofErr w:type="spellStart"/>
      <w:r w:rsidRPr="007D3F78">
        <w:rPr>
          <w:rFonts w:ascii="Lato" w:hAnsi="Lato" w:cstheme="minorHAnsi"/>
          <w:color w:val="000000"/>
          <w:sz w:val="16"/>
          <w:szCs w:val="16"/>
          <w:lang w:val="fr-CA"/>
        </w:rPr>
        <w:t>Delopmental</w:t>
      </w:r>
      <w:proofErr w:type="spellEnd"/>
      <w:r w:rsidRPr="007D3F78">
        <w:rPr>
          <w:rFonts w:ascii="Lato" w:hAnsi="Lato" w:cstheme="minorHAnsi"/>
          <w:color w:val="000000"/>
          <w:sz w:val="16"/>
          <w:szCs w:val="16"/>
          <w:lang w:val="fr-CA"/>
        </w:rPr>
        <w:t xml:space="preserve"> </w:t>
      </w:r>
      <w:proofErr w:type="spellStart"/>
      <w:r w:rsidRPr="007D3F78">
        <w:rPr>
          <w:rFonts w:ascii="Lato" w:hAnsi="Lato" w:cstheme="minorHAnsi"/>
          <w:color w:val="000000"/>
          <w:sz w:val="16"/>
          <w:szCs w:val="16"/>
          <w:lang w:val="fr-CA"/>
        </w:rPr>
        <w:t>Disabilities</w:t>
      </w:r>
      <w:proofErr w:type="spellEnd"/>
      <w:r w:rsidRPr="007D3F78">
        <w:rPr>
          <w:rFonts w:ascii="Lato" w:hAnsi="Lato" w:cstheme="minorHAnsi"/>
          <w:color w:val="000000"/>
          <w:sz w:val="16"/>
          <w:szCs w:val="16"/>
          <w:lang w:val="fr-CA"/>
        </w:rPr>
        <w:t xml:space="preserve"> H-CARDD) Centre de toxicomanie et de santé mentale (CAMH), Toronto</w:t>
      </w:r>
      <w:r w:rsidR="00394E8E" w:rsidRPr="007D3F78">
        <w:rPr>
          <w:rFonts w:ascii="Lato" w:hAnsi="Lato"/>
          <w:sz w:val="16"/>
          <w:szCs w:val="16"/>
        </w:rPr>
        <w:t>.</w:t>
      </w:r>
    </w:p>
  </w:endnote>
  <w:endnote w:id="56">
    <w:p w14:paraId="2A60BA13" w14:textId="1C47DEA0" w:rsidR="00A95AC1" w:rsidRDefault="00A95AC1" w:rsidP="0069631F">
      <w:pPr>
        <w:pStyle w:val="Endnote-H4"/>
        <w:spacing w:after="0"/>
      </w:pPr>
      <w:r>
        <w:rPr>
          <w:rStyle w:val="EndnoteReference"/>
        </w:rPr>
        <w:endnoteRef/>
      </w:r>
      <w:r>
        <w:t xml:space="preserve"> </w:t>
      </w:r>
      <w:proofErr w:type="spellStart"/>
      <w:r w:rsidR="00964092">
        <w:rPr>
          <w:rFonts w:cstheme="minorHAnsi"/>
          <w:color w:val="000000"/>
        </w:rPr>
        <w:t>Ressources</w:t>
      </w:r>
      <w:proofErr w:type="spellEnd"/>
      <w:r w:rsidR="00964092">
        <w:rPr>
          <w:rFonts w:cstheme="minorHAnsi"/>
          <w:color w:val="000000"/>
        </w:rPr>
        <w:t xml:space="preserve"> </w:t>
      </w:r>
      <w:proofErr w:type="spellStart"/>
      <w:r w:rsidR="00964092">
        <w:rPr>
          <w:rFonts w:cstheme="minorHAnsi"/>
          <w:color w:val="000000"/>
        </w:rPr>
        <w:t>financières</w:t>
      </w:r>
      <w:proofErr w:type="spellEnd"/>
      <w:r w:rsidR="00964092">
        <w:rPr>
          <w:rFonts w:cstheme="minorHAnsi"/>
          <w:color w:val="000000"/>
        </w:rPr>
        <w:t xml:space="preserve"> </w:t>
      </w:r>
      <w:proofErr w:type="spellStart"/>
      <w:r w:rsidR="00964092">
        <w:rPr>
          <w:rFonts w:cstheme="minorHAnsi"/>
          <w:color w:val="000000"/>
        </w:rPr>
        <w:t>requises</w:t>
      </w:r>
      <w:proofErr w:type="spellEnd"/>
    </w:p>
    <w:p w14:paraId="2A73879F" w14:textId="294ADC7F" w:rsidR="00A95AC1" w:rsidRPr="007D3F78" w:rsidRDefault="00964092" w:rsidP="007B6C5C">
      <w:pPr>
        <w:pStyle w:val="Endnote-Bullet-L1"/>
        <w:rPr>
          <w:rFonts w:ascii="Lato" w:hAnsi="Lato"/>
          <w:sz w:val="16"/>
          <w:szCs w:val="16"/>
        </w:rPr>
      </w:pPr>
      <w:r w:rsidRPr="007D3F78">
        <w:rPr>
          <w:rFonts w:ascii="Lato" w:hAnsi="Lato" w:cstheme="minorHAnsi"/>
          <w:color w:val="000000"/>
          <w:sz w:val="16"/>
          <w:szCs w:val="16"/>
          <w:lang w:val="fr-CA"/>
        </w:rPr>
        <w:t>Examinez les ressources financières disponibles pour les personnes ayant des DID. Donnez l'information aux patients ou référez-les à des travailleurs sociaux qui les aideront à faires des demandes</w:t>
      </w:r>
      <w:r w:rsidR="00A95AC1" w:rsidRPr="007D3F78">
        <w:rPr>
          <w:rFonts w:ascii="Lato" w:hAnsi="Lato"/>
          <w:sz w:val="16"/>
          <w:szCs w:val="16"/>
        </w:rPr>
        <w:t>.</w:t>
      </w:r>
    </w:p>
  </w:endnote>
  <w:endnote w:id="57">
    <w:p w14:paraId="20B56C58" w14:textId="570075F3" w:rsidR="00A95AC1" w:rsidRDefault="00A95AC1" w:rsidP="0069631F">
      <w:pPr>
        <w:pStyle w:val="Endnote-H4"/>
        <w:spacing w:after="0"/>
      </w:pPr>
      <w:r>
        <w:rPr>
          <w:rStyle w:val="EndnoteReference"/>
        </w:rPr>
        <w:endnoteRef/>
      </w:r>
      <w:r>
        <w:t xml:space="preserve"> </w:t>
      </w:r>
      <w:r w:rsidR="00964092">
        <w:rPr>
          <w:rFonts w:cstheme="minorHAnsi"/>
          <w:color w:val="000000"/>
          <w:lang w:val="fr-CA"/>
        </w:rPr>
        <w:t>Dossier donné au patient et/ou à la personne aidante</w:t>
      </w:r>
    </w:p>
    <w:p w14:paraId="0358D10F" w14:textId="0BF46810" w:rsidR="00A95AC1" w:rsidRPr="007D3F78" w:rsidRDefault="00964092" w:rsidP="0069631F">
      <w:pPr>
        <w:pStyle w:val="Endnote-Bullet-L1"/>
        <w:spacing w:after="0"/>
        <w:rPr>
          <w:rFonts w:ascii="Lato" w:hAnsi="Lato"/>
          <w:sz w:val="16"/>
          <w:szCs w:val="16"/>
        </w:rPr>
      </w:pPr>
      <w:r w:rsidRPr="007D3F78">
        <w:rPr>
          <w:rFonts w:ascii="Lato" w:hAnsi="Lato" w:cstheme="minorHAnsi"/>
          <w:color w:val="000000"/>
          <w:sz w:val="16"/>
          <w:szCs w:val="16"/>
          <w:lang w:val="fr-CA"/>
        </w:rPr>
        <w:t xml:space="preserve">Donnez une copie du Profil cumulatif du patient à jour au patient et à la personne aidante ainsi qu'une copie à jour de l'Examen de santé. Si le patient a apporté une copie d'un passeport santé ou d'un document similaire, répondez aux questions sur le formulaire et remettez-le au patient et à son aidant(e). Faites une copie pour vos dossiers. </w:t>
      </w:r>
      <w:proofErr w:type="spellStart"/>
      <w:r w:rsidRPr="007D3F78">
        <w:rPr>
          <w:rFonts w:ascii="Lato" w:hAnsi="Lato" w:cstheme="minorHAnsi"/>
          <w:color w:val="000000"/>
          <w:sz w:val="16"/>
          <w:szCs w:val="16"/>
          <w:lang w:val="fr-CA"/>
        </w:rPr>
        <w:t>Celaservira</w:t>
      </w:r>
      <w:proofErr w:type="spellEnd"/>
      <w:r w:rsidRPr="007D3F78">
        <w:rPr>
          <w:rFonts w:ascii="Lato" w:hAnsi="Lato" w:cstheme="minorHAnsi"/>
          <w:color w:val="000000"/>
          <w:sz w:val="16"/>
          <w:szCs w:val="16"/>
          <w:lang w:val="fr-CA"/>
        </w:rPr>
        <w:t xml:space="preserve"> de résumé de l’évaluation</w:t>
      </w:r>
      <w:r w:rsidR="00A95AC1" w:rsidRPr="007D3F78">
        <w:rPr>
          <w:rFonts w:ascii="Lato" w:hAnsi="Lato"/>
          <w:sz w:val="16"/>
          <w:szCs w:val="16"/>
        </w:rPr>
        <w:t xml:space="preserve">. </w:t>
      </w:r>
    </w:p>
    <w:p w14:paraId="0158D13E" w14:textId="305F58D1" w:rsidR="00A95AC1" w:rsidRPr="007D3F78" w:rsidRDefault="00964092" w:rsidP="0069631F">
      <w:pPr>
        <w:pStyle w:val="Endnote-H5"/>
        <w:spacing w:after="0"/>
        <w:rPr>
          <w:rFonts w:ascii="Lato" w:hAnsi="Lato"/>
          <w:sz w:val="16"/>
          <w:szCs w:val="16"/>
        </w:rPr>
      </w:pPr>
      <w:r w:rsidRPr="007D3F78">
        <w:rPr>
          <w:rFonts w:ascii="Lato" w:hAnsi="Lato" w:cstheme="minorHAnsi"/>
          <w:color w:val="000000"/>
          <w:sz w:val="16"/>
          <w:szCs w:val="16"/>
          <w:lang w:val="fr-CA"/>
        </w:rPr>
        <w:t>OUTILS POUR LA PRATIQUE</w:t>
      </w:r>
    </w:p>
    <w:p w14:paraId="475FF21E" w14:textId="1327D03C" w:rsidR="00A95AC1" w:rsidRDefault="00000000" w:rsidP="00490609">
      <w:pPr>
        <w:pStyle w:val="Endnote-Link"/>
        <w:rPr>
          <w:rStyle w:val="Hyperlink"/>
          <w:rFonts w:ascii="Lato" w:hAnsi="Lato"/>
          <w:sz w:val="16"/>
          <w:szCs w:val="16"/>
        </w:rPr>
      </w:pPr>
      <w:hyperlink r:id="rId46" w:history="1">
        <w:r w:rsidR="00964092" w:rsidRPr="007D3F78">
          <w:rPr>
            <w:rStyle w:val="Hyperlink"/>
            <w:rFonts w:ascii="Lato" w:hAnsi="Lato"/>
            <w:sz w:val="16"/>
            <w:szCs w:val="16"/>
            <w:lang w:val="fr-CA"/>
          </w:rPr>
          <w:t>Mon rendez-vous médical</w:t>
        </w:r>
        <w:r w:rsidR="00964092" w:rsidRPr="007D3F78">
          <w:rPr>
            <w:rStyle w:val="Hyperlink"/>
            <w:rFonts w:ascii="Lato" w:hAnsi="Lato"/>
            <w:sz w:val="16"/>
            <w:szCs w:val="16"/>
            <w:lang w:val="en-US"/>
          </w:rPr>
          <w:t xml:space="preserve"> </w:t>
        </w:r>
      </w:hyperlink>
    </w:p>
    <w:p w14:paraId="0C503AC1" w14:textId="77777777" w:rsidR="00B061E0" w:rsidRDefault="00B061E0" w:rsidP="00B061E0">
      <w:pPr>
        <w:pStyle w:val="Endnote-Link"/>
        <w:spacing w:after="120"/>
        <w:rPr>
          <w:rFonts w:ascii="Lato" w:hAnsi="Lato"/>
          <w:b/>
          <w:bCs/>
          <w:caps/>
          <w:sz w:val="16"/>
          <w:szCs w:val="16"/>
          <w:lang w:val="fr-CA"/>
        </w:rPr>
      </w:pPr>
      <w:r>
        <w:rPr>
          <w:rStyle w:val="Hyperlink"/>
          <w:rFonts w:ascii="Lato" w:hAnsi="Lato"/>
          <w:sz w:val="16"/>
          <w:szCs w:val="16"/>
        </w:rPr>
        <w:br/>
      </w:r>
    </w:p>
    <w:p w14:paraId="5566401A" w14:textId="77777777" w:rsidR="00B061E0" w:rsidRDefault="00B061E0" w:rsidP="00B061E0">
      <w:pPr>
        <w:pStyle w:val="Endnote-Link"/>
        <w:spacing w:after="120"/>
        <w:rPr>
          <w:rFonts w:ascii="Lato" w:hAnsi="Lato"/>
          <w:b/>
          <w:bCs/>
          <w:caps/>
          <w:sz w:val="16"/>
          <w:szCs w:val="16"/>
          <w:lang w:val="fr-CA"/>
        </w:rPr>
      </w:pPr>
    </w:p>
    <w:p w14:paraId="3668ACB1" w14:textId="77777777" w:rsidR="00B061E0" w:rsidRDefault="00B061E0" w:rsidP="00B061E0">
      <w:pPr>
        <w:pStyle w:val="Endnote-Link"/>
        <w:spacing w:after="120"/>
        <w:rPr>
          <w:rFonts w:ascii="Lato" w:hAnsi="Lato"/>
          <w:b/>
          <w:bCs/>
          <w:caps/>
          <w:sz w:val="16"/>
          <w:szCs w:val="16"/>
          <w:lang w:val="fr-CA"/>
        </w:rPr>
      </w:pPr>
    </w:p>
    <w:p w14:paraId="30791F74" w14:textId="77777777" w:rsidR="00B061E0" w:rsidRDefault="00B061E0" w:rsidP="00B061E0">
      <w:pPr>
        <w:pStyle w:val="Endnote-Link"/>
        <w:spacing w:after="120"/>
        <w:rPr>
          <w:rFonts w:ascii="Lato" w:hAnsi="Lato"/>
          <w:b/>
          <w:bCs/>
          <w:caps/>
          <w:sz w:val="16"/>
          <w:szCs w:val="16"/>
          <w:lang w:val="fr-CA"/>
        </w:rPr>
      </w:pPr>
    </w:p>
    <w:p w14:paraId="0A403F26" w14:textId="77777777" w:rsidR="00B061E0" w:rsidRDefault="00B061E0" w:rsidP="00B061E0">
      <w:pPr>
        <w:pStyle w:val="Endnote-Link"/>
        <w:spacing w:after="120"/>
        <w:rPr>
          <w:rFonts w:ascii="Lato" w:hAnsi="Lato"/>
          <w:b/>
          <w:bCs/>
          <w:caps/>
          <w:sz w:val="16"/>
          <w:szCs w:val="16"/>
          <w:lang w:val="fr-CA"/>
        </w:rPr>
      </w:pPr>
    </w:p>
    <w:p w14:paraId="13652E9F" w14:textId="77777777" w:rsidR="00B061E0" w:rsidRDefault="00B061E0" w:rsidP="00B061E0">
      <w:pPr>
        <w:pStyle w:val="Endnote-Link"/>
        <w:spacing w:after="120"/>
        <w:rPr>
          <w:rFonts w:ascii="Lato" w:hAnsi="Lato"/>
          <w:b/>
          <w:bCs/>
          <w:caps/>
          <w:sz w:val="16"/>
          <w:szCs w:val="16"/>
          <w:lang w:val="fr-CA"/>
        </w:rPr>
      </w:pPr>
    </w:p>
    <w:p w14:paraId="28625C33" w14:textId="77777777" w:rsidR="00B061E0" w:rsidRDefault="00B061E0" w:rsidP="00B061E0">
      <w:pPr>
        <w:pStyle w:val="Endnote-Link"/>
        <w:spacing w:after="120"/>
        <w:rPr>
          <w:rFonts w:ascii="Lato" w:hAnsi="Lato"/>
          <w:b/>
          <w:bCs/>
          <w:caps/>
          <w:sz w:val="16"/>
          <w:szCs w:val="16"/>
          <w:lang w:val="fr-CA"/>
        </w:rPr>
      </w:pPr>
    </w:p>
    <w:p w14:paraId="250D1444" w14:textId="77777777" w:rsidR="00B061E0" w:rsidRDefault="00B061E0" w:rsidP="00B061E0">
      <w:pPr>
        <w:pStyle w:val="Endnote-Link"/>
        <w:spacing w:after="120"/>
        <w:rPr>
          <w:rFonts w:ascii="Lato" w:hAnsi="Lato"/>
          <w:b/>
          <w:bCs/>
          <w:caps/>
          <w:sz w:val="16"/>
          <w:szCs w:val="16"/>
          <w:lang w:val="fr-CA"/>
        </w:rPr>
      </w:pPr>
    </w:p>
    <w:p w14:paraId="716460F8" w14:textId="77777777" w:rsidR="00B061E0" w:rsidRDefault="00B061E0" w:rsidP="00B061E0">
      <w:pPr>
        <w:pStyle w:val="Endnote-Link"/>
        <w:spacing w:after="0"/>
        <w:rPr>
          <w:rFonts w:ascii="Lato" w:hAnsi="Lato"/>
          <w:b/>
          <w:bCs/>
          <w:caps/>
          <w:sz w:val="16"/>
          <w:szCs w:val="16"/>
          <w:lang w:val="fr-CA"/>
        </w:rPr>
      </w:pPr>
    </w:p>
    <w:p w14:paraId="176953A6" w14:textId="6077DCF4" w:rsidR="00B061E0" w:rsidRPr="007D3F78" w:rsidRDefault="00B061E0" w:rsidP="00B061E0">
      <w:pPr>
        <w:pStyle w:val="Endnote-Link"/>
        <w:spacing w:after="0"/>
        <w:rPr>
          <w:rFonts w:ascii="Lato" w:hAnsi="Lato"/>
          <w:b/>
          <w:bCs/>
          <w:caps/>
          <w:sz w:val="16"/>
          <w:szCs w:val="16"/>
          <w:lang w:val="en-US"/>
        </w:rPr>
      </w:pPr>
      <w:r w:rsidRPr="007D3F78">
        <w:rPr>
          <w:rFonts w:ascii="Lato" w:hAnsi="Lato"/>
          <w:b/>
          <w:bCs/>
          <w:caps/>
          <w:sz w:val="16"/>
          <w:szCs w:val="16"/>
          <w:lang w:val="fr-CA"/>
        </w:rPr>
        <w:t>Droits d'auteur et clause de non-responsabilité</w:t>
      </w:r>
      <w:r w:rsidRPr="007D3F78">
        <w:rPr>
          <w:rFonts w:ascii="Lato" w:hAnsi="Lato"/>
          <w:b/>
          <w:bCs/>
          <w:caps/>
          <w:sz w:val="16"/>
          <w:szCs w:val="16"/>
          <w:lang w:val="en-US"/>
        </w:rPr>
        <w:t xml:space="preserve"> </w:t>
      </w:r>
    </w:p>
    <w:p w14:paraId="3EBAB77C" w14:textId="2C0C0B20" w:rsidR="00B061E0" w:rsidRPr="007D3F78" w:rsidRDefault="00B061E0" w:rsidP="00B061E0">
      <w:pPr>
        <w:pStyle w:val="Endnote-Link"/>
        <w:spacing w:after="120"/>
        <w:rPr>
          <w:rFonts w:ascii="Lato" w:hAnsi="Lato" w:cstheme="minorHAnsi"/>
          <w:sz w:val="16"/>
          <w:szCs w:val="16"/>
          <w:lang w:val="fr-CA"/>
        </w:rPr>
      </w:pPr>
      <w:r w:rsidRPr="007D3F78">
        <w:rPr>
          <w:rFonts w:ascii="Lato" w:hAnsi="Lato" w:cstheme="minorHAnsi"/>
          <w:color w:val="000000"/>
          <w:sz w:val="16"/>
          <w:szCs w:val="16"/>
          <w:lang w:val="fr-CA"/>
        </w:rPr>
        <w:t xml:space="preserve">Tous droits réservés. La reproduction de cet outil ou son entreposage dans un système d’extraction, sous quelque forme ou par quelque moyen que ce soit, sont interdits sans l’autorisation écrite préalable du propriétaire des droits d’auteurs, Surrey Place. </w:t>
      </w:r>
      <w:r w:rsidRPr="007D3F78">
        <w:rPr>
          <w:rFonts w:ascii="Lato" w:hAnsi="Lato" w:cstheme="minorHAnsi"/>
          <w:sz w:val="16"/>
          <w:szCs w:val="16"/>
          <w:lang w:val="fr-CA"/>
        </w:rPr>
        <w:t xml:space="preserve">L’utilisation, la reproduction et la distribution de cet outil sont autorisées à condition </w:t>
      </w:r>
      <w:r>
        <w:rPr>
          <w:rFonts w:ascii="Lato" w:hAnsi="Lato" w:cstheme="minorHAnsi"/>
          <w:sz w:val="16"/>
          <w:szCs w:val="16"/>
          <w:lang w:val="fr-CA"/>
        </w:rPr>
        <w:t>d</w:t>
      </w:r>
      <w:r w:rsidRPr="007D3F78">
        <w:rPr>
          <w:rFonts w:ascii="Lato" w:hAnsi="Lato" w:cstheme="minorHAnsi"/>
          <w:sz w:val="16"/>
          <w:szCs w:val="16"/>
          <w:lang w:val="fr-CA"/>
        </w:rPr>
        <w:t xml:space="preserve">’être cité adéquatement, comme décrit ci-dessous. Écrivez </w:t>
      </w:r>
      <w:proofErr w:type="gramStart"/>
      <w:r w:rsidRPr="007D3F78">
        <w:rPr>
          <w:rFonts w:ascii="Lato" w:hAnsi="Lato" w:cstheme="minorHAnsi"/>
          <w:sz w:val="16"/>
          <w:szCs w:val="16"/>
          <w:lang w:val="fr-CA"/>
        </w:rPr>
        <w:t>au  ddpcp@surreyplace.ca</w:t>
      </w:r>
      <w:proofErr w:type="gramEnd"/>
      <w:r w:rsidRPr="007D3F78">
        <w:rPr>
          <w:rFonts w:ascii="Lato" w:hAnsi="Lato" w:cstheme="minorHAnsi"/>
          <w:sz w:val="16"/>
          <w:szCs w:val="16"/>
          <w:lang w:val="fr-CA"/>
        </w:rPr>
        <w:t xml:space="preserve"> afin d’obtenir la permission d’adapter cet outil aux besoins de votre pratique locale. Cet outil a été élaboré uniquement en tant que guide. </w:t>
      </w:r>
      <w:r w:rsidRPr="007D3F78">
        <w:rPr>
          <w:rFonts w:ascii="Lato" w:hAnsi="Lato" w:cstheme="minorHAnsi"/>
          <w:color w:val="000000"/>
          <w:sz w:val="16"/>
          <w:szCs w:val="16"/>
          <w:lang w:val="fr-CA"/>
        </w:rPr>
        <w:t xml:space="preserve">Cet outil clinique accompagne les </w:t>
      </w:r>
      <w:r w:rsidRPr="007D3F78">
        <w:rPr>
          <w:rFonts w:ascii="Lato" w:hAnsi="Lato" w:cstheme="minorHAnsi"/>
          <w:i/>
          <w:iCs/>
          <w:color w:val="000000"/>
          <w:sz w:val="16"/>
          <w:szCs w:val="16"/>
          <w:lang w:val="fr-CA"/>
        </w:rPr>
        <w:t xml:space="preserve">lignes directrices consensuelles canadiennes de 2018 </w:t>
      </w:r>
      <w:r w:rsidRPr="007D3F78">
        <w:rPr>
          <w:rFonts w:ascii="Lato" w:hAnsi="Lato" w:cstheme="minorHAnsi"/>
          <w:color w:val="000000"/>
          <w:sz w:val="16"/>
          <w:szCs w:val="16"/>
          <w:lang w:val="fr-CA"/>
        </w:rPr>
        <w:t xml:space="preserve">: « Soins primaires aux adultes ayant des déficiences intellectuelles et développementales » publiées par le Programme de soins </w:t>
      </w:r>
      <w:r w:rsidRPr="007D3F78">
        <w:rPr>
          <w:rFonts w:ascii="Lato" w:hAnsi="Lato" w:cstheme="minorHAnsi"/>
          <w:noProof/>
          <w:sz w:val="16"/>
          <w:szCs w:val="16"/>
          <w:lang w:val="fr-CA"/>
        </w:rPr>
        <w:t>primaires aux adultes ayant une déficience intellectuelle</w:t>
      </w:r>
      <w:r w:rsidRPr="007D3F78">
        <w:rPr>
          <w:rFonts w:ascii="Lato" w:hAnsi="Lato" w:cstheme="minorHAnsi"/>
          <w:color w:val="000000"/>
          <w:sz w:val="16"/>
          <w:szCs w:val="16"/>
          <w:lang w:val="fr-CA"/>
        </w:rPr>
        <w:t xml:space="preserve"> de Surrey Place (DDPCP) et par le journal </w:t>
      </w:r>
      <w:r w:rsidRPr="007D3F78">
        <w:rPr>
          <w:rFonts w:ascii="Lato" w:hAnsi="Lato" w:cstheme="minorHAnsi"/>
          <w:i/>
          <w:iCs/>
          <w:color w:val="000000"/>
          <w:sz w:val="16"/>
          <w:szCs w:val="16"/>
          <w:lang w:val="fr-CA"/>
        </w:rPr>
        <w:t>Le médecin de famille canadien</w:t>
      </w:r>
      <w:r w:rsidRPr="007D3F78">
        <w:rPr>
          <w:rFonts w:ascii="Lato" w:hAnsi="Lato" w:cstheme="minorHAnsi"/>
          <w:color w:val="000000"/>
          <w:sz w:val="16"/>
          <w:szCs w:val="16"/>
          <w:lang w:val="fr-CA"/>
        </w:rPr>
        <w:t>, avril (2018), Volume 64(4), p. 254-279.</w:t>
      </w:r>
    </w:p>
    <w:p w14:paraId="51483FBE" w14:textId="78459CB1" w:rsidR="00B061E0" w:rsidRPr="00B061E0" w:rsidRDefault="00B061E0" w:rsidP="00B061E0">
      <w:pPr>
        <w:pStyle w:val="Endnote-Link"/>
        <w:spacing w:after="120"/>
        <w:rPr>
          <w:rStyle w:val="Hyperlink"/>
          <w:rFonts w:ascii="Lato" w:hAnsi="Lato" w:cstheme="minorHAnsi"/>
          <w:color w:val="auto"/>
          <w:sz w:val="16"/>
          <w:szCs w:val="16"/>
          <w:u w:val="none"/>
          <w:lang w:val="fr-CA"/>
        </w:rPr>
      </w:pPr>
      <w:r w:rsidRPr="007D3F78">
        <w:rPr>
          <w:rFonts w:ascii="Lato" w:hAnsi="Lato" w:cstheme="minorHAnsi"/>
          <w:color w:val="000000"/>
          <w:sz w:val="16"/>
          <w:szCs w:val="16"/>
          <w:lang w:val="fr-CA"/>
        </w:rPr>
        <w:t xml:space="preserve">L'élaboration de l'outil a été financée par </w:t>
      </w:r>
      <w:r w:rsidRPr="007D3F78">
        <w:rPr>
          <w:rFonts w:ascii="Lato" w:hAnsi="Lato" w:cstheme="minorHAnsi"/>
          <w:sz w:val="16"/>
          <w:szCs w:val="16"/>
          <w:lang w:val="fr-CA"/>
        </w:rPr>
        <w:t xml:space="preserve">le Ministère de la Santé et des Soins de longue durée et le Ministère des Services à l’enfance et des Services sociaux et communautaires de l’Ontario (2016-19). </w:t>
      </w:r>
      <w:r w:rsidRPr="007D3F78">
        <w:rPr>
          <w:rFonts w:ascii="Lato" w:hAnsi="Lato" w:cstheme="minorHAnsi"/>
          <w:color w:val="000000"/>
          <w:sz w:val="16"/>
          <w:szCs w:val="16"/>
          <w:lang w:val="fr-CA"/>
        </w:rPr>
        <w:t xml:space="preserve">Surrey Place, le Programme de soins </w:t>
      </w:r>
      <w:r w:rsidRPr="007D3F78">
        <w:rPr>
          <w:rFonts w:ascii="Lato" w:hAnsi="Lato" w:cstheme="minorHAnsi"/>
          <w:noProof/>
          <w:sz w:val="16"/>
          <w:szCs w:val="16"/>
          <w:lang w:val="fr-CA"/>
        </w:rPr>
        <w:t>primaires aux adultes ayant une déficience intellectuelle et autres contributeurs</w:t>
      </w:r>
      <w:r w:rsidRPr="007D3F78">
        <w:rPr>
          <w:rFonts w:ascii="Lato" w:hAnsi="Lato" w:cstheme="minorHAnsi"/>
          <w:color w:val="000000"/>
          <w:sz w:val="16"/>
          <w:szCs w:val="16"/>
          <w:lang w:val="fr-CA"/>
        </w:rPr>
        <w:t xml:space="preserve"> ayant </w:t>
      </w:r>
      <w:proofErr w:type="spellStart"/>
      <w:r w:rsidRPr="007D3F78">
        <w:rPr>
          <w:rFonts w:ascii="Lato" w:hAnsi="Lato" w:cstheme="minorHAnsi"/>
          <w:color w:val="000000"/>
          <w:sz w:val="16"/>
          <w:szCs w:val="16"/>
          <w:lang w:val="fr-CA"/>
        </w:rPr>
        <w:t>oeuvré</w:t>
      </w:r>
      <w:proofErr w:type="spellEnd"/>
      <w:r w:rsidRPr="007D3F78">
        <w:rPr>
          <w:rFonts w:ascii="Lato" w:hAnsi="Lato" w:cstheme="minorHAnsi"/>
          <w:color w:val="000000"/>
          <w:sz w:val="16"/>
          <w:szCs w:val="16"/>
          <w:lang w:val="fr-CA"/>
        </w:rPr>
        <w:t xml:space="preserve"> à la préparation de ce document ne peuvent être tenus responsables des erreurs, des omissions ou de toute conséquence découlant de l’utilisation de l’information. Les professionnels de la santé spécialisés en soins de première ligne et les autres professionnels de la santé doivent utiliser leur propre jugement clinique lors de l’utilisation de cet outil</w:t>
      </w:r>
      <w:r w:rsidRPr="007D3F78">
        <w:rPr>
          <w:rStyle w:val="Hyperlink"/>
          <w:rFonts w:ascii="Lato" w:hAnsi="Lato"/>
          <w:color w:val="auto"/>
          <w:sz w:val="16"/>
          <w:szCs w:val="16"/>
          <w:u w:val="none"/>
        </w:rPr>
        <w:t xml:space="preserve">. </w:t>
      </w:r>
    </w:p>
    <w:p w14:paraId="5BC24047" w14:textId="77777777" w:rsidR="00B061E0" w:rsidRDefault="00B061E0" w:rsidP="00B061E0">
      <w:pPr>
        <w:pStyle w:val="Endnote-Link"/>
        <w:spacing w:after="120"/>
        <w:rPr>
          <w:rStyle w:val="Hyperlink"/>
          <w:rFonts w:ascii="Lato" w:hAnsi="Lato"/>
          <w:color w:val="auto"/>
          <w:sz w:val="16"/>
          <w:szCs w:val="16"/>
          <w:u w:val="none"/>
        </w:rPr>
      </w:pPr>
      <w:r w:rsidRPr="007D3F78">
        <w:rPr>
          <w:rFonts w:ascii="Lato" w:hAnsi="Lato" w:cstheme="minorHAnsi"/>
          <w:color w:val="000000"/>
          <w:sz w:val="16"/>
          <w:szCs w:val="16"/>
          <w:lang w:val="fr-CA"/>
        </w:rPr>
        <w:t xml:space="preserve">La version DME de </w:t>
      </w:r>
      <w:proofErr w:type="spellStart"/>
      <w:r w:rsidRPr="007D3F78">
        <w:rPr>
          <w:rFonts w:ascii="Lato" w:hAnsi="Lato" w:cstheme="minorHAnsi"/>
          <w:color w:val="000000"/>
          <w:sz w:val="16"/>
          <w:szCs w:val="16"/>
          <w:lang w:val="fr-CA"/>
        </w:rPr>
        <w:t>Telus</w:t>
      </w:r>
      <w:proofErr w:type="spellEnd"/>
      <w:r w:rsidRPr="007D3F78">
        <w:rPr>
          <w:rFonts w:ascii="Lato" w:hAnsi="Lato" w:cstheme="minorHAnsi"/>
          <w:color w:val="000000"/>
          <w:sz w:val="16"/>
          <w:szCs w:val="16"/>
          <w:lang w:val="fr-CA"/>
        </w:rPr>
        <w:t xml:space="preserve"> PS Suite de l'outil Examen de santé a été développée avec l'aide du Centre d'excellence en santé électronique de Waterloo (Ontario) et grâce à une subvention du Collège des médecins de famille du Canada (2021</w:t>
      </w:r>
      <w:r w:rsidRPr="007D3F78">
        <w:rPr>
          <w:rStyle w:val="Hyperlink"/>
          <w:rFonts w:ascii="Lato" w:hAnsi="Lato"/>
          <w:color w:val="auto"/>
          <w:sz w:val="16"/>
          <w:szCs w:val="16"/>
          <w:u w:val="none"/>
        </w:rPr>
        <w:t>).</w:t>
      </w:r>
    </w:p>
    <w:p w14:paraId="2CBC2B4B" w14:textId="77777777" w:rsidR="00B061E0" w:rsidRDefault="00B061E0" w:rsidP="00B061E0">
      <w:pPr>
        <w:pStyle w:val="Endnote-Link"/>
        <w:spacing w:after="120"/>
        <w:rPr>
          <w:rStyle w:val="Hyperlink"/>
          <w:rFonts w:ascii="Lato" w:hAnsi="Lato"/>
          <w:color w:val="auto"/>
          <w:sz w:val="16"/>
          <w:szCs w:val="16"/>
          <w:u w:val="none"/>
        </w:rPr>
      </w:pPr>
    </w:p>
    <w:p w14:paraId="236D018F" w14:textId="77777777" w:rsidR="00B061E0" w:rsidRPr="007D3F78" w:rsidRDefault="00B061E0" w:rsidP="00B061E0">
      <w:pPr>
        <w:pStyle w:val="Endnote-Link"/>
        <w:spacing w:after="120"/>
        <w:rPr>
          <w:rStyle w:val="Hyperlink"/>
          <w:rFonts w:ascii="Lato" w:hAnsi="Lato"/>
          <w:color w:val="auto"/>
          <w:sz w:val="16"/>
          <w:szCs w:val="16"/>
          <w:u w:val="none"/>
        </w:rPr>
      </w:pPr>
    </w:p>
    <w:p w14:paraId="4628BEFB" w14:textId="54C8FFB7" w:rsidR="00B061E0" w:rsidRPr="007D3F78" w:rsidRDefault="00B061E0" w:rsidP="00B061E0">
      <w:pPr>
        <w:pStyle w:val="Endnote-Link"/>
        <w:spacing w:after="0"/>
        <w:rPr>
          <w:rStyle w:val="Hyperlink"/>
          <w:rFonts w:ascii="Lato" w:hAnsi="Lato"/>
          <w:b/>
          <w:bCs/>
          <w:color w:val="auto"/>
          <w:sz w:val="16"/>
          <w:szCs w:val="16"/>
          <w:u w:val="none"/>
        </w:rPr>
      </w:pPr>
      <w:r w:rsidRPr="007D3F78">
        <w:rPr>
          <w:rFonts w:ascii="Lato" w:hAnsi="Lato"/>
          <w:b/>
          <w:bCs/>
          <w:sz w:val="16"/>
          <w:szCs w:val="16"/>
        </w:rPr>
        <w:t>S.V.P. VEUILLEZ UTILISER CETTE CITATION LORSQUE VOUS FAITES RÉFÉRENCE À CET OUTI</w:t>
      </w:r>
      <w:r>
        <w:rPr>
          <w:rFonts w:ascii="Lato" w:hAnsi="Lato"/>
          <w:b/>
          <w:bCs/>
          <w:sz w:val="16"/>
          <w:szCs w:val="16"/>
        </w:rPr>
        <w:t>L</w:t>
      </w:r>
      <w:r w:rsidRPr="007D3F78">
        <w:rPr>
          <w:rStyle w:val="Hyperlink"/>
          <w:rFonts w:ascii="Lato" w:hAnsi="Lato"/>
          <w:b/>
          <w:bCs/>
          <w:color w:val="auto"/>
          <w:sz w:val="16"/>
          <w:szCs w:val="16"/>
          <w:u w:val="none"/>
        </w:rPr>
        <w:t>:</w:t>
      </w:r>
    </w:p>
    <w:p w14:paraId="5CA419A4" w14:textId="693709F1" w:rsidR="000E3BC9" w:rsidRPr="007D3F78" w:rsidRDefault="00B061E0" w:rsidP="00B061E0">
      <w:pPr>
        <w:pStyle w:val="Endnote-Link"/>
        <w:rPr>
          <w:rFonts w:ascii="Lato" w:hAnsi="Lato"/>
          <w:sz w:val="16"/>
          <w:szCs w:val="16"/>
        </w:rPr>
      </w:pPr>
      <w:r w:rsidRPr="007D3F78">
        <w:rPr>
          <w:rFonts w:ascii="Lato" w:hAnsi="Lato"/>
          <w:sz w:val="16"/>
          <w:szCs w:val="16"/>
        </w:rPr>
        <w:t xml:space="preserve">Examen de </w:t>
      </w:r>
      <w:proofErr w:type="spellStart"/>
      <w:proofErr w:type="gramStart"/>
      <w:r w:rsidRPr="007D3F78">
        <w:rPr>
          <w:rFonts w:ascii="Lato" w:hAnsi="Lato"/>
          <w:sz w:val="16"/>
          <w:szCs w:val="16"/>
        </w:rPr>
        <w:t>santé</w:t>
      </w:r>
      <w:proofErr w:type="spellEnd"/>
      <w:r w:rsidRPr="007D3F78">
        <w:rPr>
          <w:rFonts w:ascii="Lato" w:hAnsi="Lato"/>
          <w:sz w:val="16"/>
          <w:szCs w:val="16"/>
        </w:rPr>
        <w:t xml:space="preserve"> :</w:t>
      </w:r>
      <w:proofErr w:type="gramEnd"/>
      <w:r w:rsidRPr="007D3F78">
        <w:rPr>
          <w:rFonts w:ascii="Lato" w:hAnsi="Lato"/>
          <w:sz w:val="16"/>
          <w:szCs w:val="16"/>
        </w:rPr>
        <w:t xml:space="preserve"> Un examen </w:t>
      </w:r>
      <w:proofErr w:type="spellStart"/>
      <w:r w:rsidRPr="007D3F78">
        <w:rPr>
          <w:rFonts w:ascii="Lato" w:hAnsi="Lato"/>
          <w:sz w:val="16"/>
          <w:szCs w:val="16"/>
        </w:rPr>
        <w:t>médical</w:t>
      </w:r>
      <w:proofErr w:type="spellEnd"/>
      <w:r w:rsidRPr="007D3F78">
        <w:rPr>
          <w:rFonts w:ascii="Lato" w:hAnsi="Lato"/>
          <w:sz w:val="16"/>
          <w:szCs w:val="16"/>
        </w:rPr>
        <w:t xml:space="preserve"> </w:t>
      </w:r>
      <w:proofErr w:type="spellStart"/>
      <w:r w:rsidRPr="007D3F78">
        <w:rPr>
          <w:rFonts w:ascii="Lato" w:hAnsi="Lato"/>
          <w:sz w:val="16"/>
          <w:szCs w:val="16"/>
        </w:rPr>
        <w:t>complet</w:t>
      </w:r>
      <w:proofErr w:type="spellEnd"/>
      <w:r w:rsidRPr="007D3F78">
        <w:rPr>
          <w:rFonts w:ascii="Lato" w:hAnsi="Lato"/>
          <w:sz w:val="16"/>
          <w:szCs w:val="16"/>
        </w:rPr>
        <w:t xml:space="preserve"> pour </w:t>
      </w:r>
      <w:proofErr w:type="spellStart"/>
      <w:r w:rsidRPr="007D3F78">
        <w:rPr>
          <w:rFonts w:ascii="Lato" w:hAnsi="Lato"/>
          <w:sz w:val="16"/>
          <w:szCs w:val="16"/>
        </w:rPr>
        <w:t>adultes</w:t>
      </w:r>
      <w:proofErr w:type="spellEnd"/>
      <w:r w:rsidRPr="007D3F78">
        <w:rPr>
          <w:rFonts w:ascii="Lato" w:hAnsi="Lato"/>
          <w:sz w:val="16"/>
          <w:szCs w:val="16"/>
        </w:rPr>
        <w:t xml:space="preserve"> </w:t>
      </w:r>
      <w:proofErr w:type="spellStart"/>
      <w:r w:rsidRPr="007D3F78">
        <w:rPr>
          <w:rFonts w:ascii="Lato" w:hAnsi="Lato"/>
          <w:sz w:val="16"/>
          <w:szCs w:val="16"/>
        </w:rPr>
        <w:t>ayant</w:t>
      </w:r>
      <w:proofErr w:type="spellEnd"/>
      <w:r w:rsidRPr="007D3F78">
        <w:rPr>
          <w:rFonts w:ascii="Lato" w:hAnsi="Lato"/>
          <w:sz w:val="16"/>
          <w:szCs w:val="16"/>
        </w:rPr>
        <w:t xml:space="preserve"> des </w:t>
      </w:r>
      <w:proofErr w:type="spellStart"/>
      <w:r w:rsidRPr="007D3F78">
        <w:rPr>
          <w:rFonts w:ascii="Lato" w:hAnsi="Lato"/>
          <w:sz w:val="16"/>
          <w:szCs w:val="16"/>
        </w:rPr>
        <w:t>déficiences</w:t>
      </w:r>
      <w:proofErr w:type="spellEnd"/>
      <w:r w:rsidRPr="007D3F78">
        <w:rPr>
          <w:rFonts w:ascii="Lato" w:hAnsi="Lato"/>
          <w:sz w:val="16"/>
          <w:szCs w:val="16"/>
        </w:rPr>
        <w:t xml:space="preserve"> </w:t>
      </w:r>
      <w:proofErr w:type="spellStart"/>
      <w:r w:rsidRPr="007D3F78">
        <w:rPr>
          <w:rFonts w:ascii="Lato" w:hAnsi="Lato"/>
          <w:sz w:val="16"/>
          <w:szCs w:val="16"/>
        </w:rPr>
        <w:t>intellectuelles</w:t>
      </w:r>
      <w:proofErr w:type="spellEnd"/>
      <w:r w:rsidRPr="007D3F78">
        <w:rPr>
          <w:rFonts w:ascii="Lato" w:hAnsi="Lato"/>
          <w:sz w:val="16"/>
          <w:szCs w:val="16"/>
        </w:rPr>
        <w:t xml:space="preserve"> et </w:t>
      </w:r>
      <w:proofErr w:type="spellStart"/>
      <w:r w:rsidRPr="007D3F78">
        <w:rPr>
          <w:rFonts w:ascii="Lato" w:hAnsi="Lato"/>
          <w:sz w:val="16"/>
          <w:szCs w:val="16"/>
        </w:rPr>
        <w:t>développementales</w:t>
      </w:r>
      <w:proofErr w:type="spellEnd"/>
      <w:r w:rsidRPr="007D3F78">
        <w:rPr>
          <w:rFonts w:ascii="Lato" w:hAnsi="Lato"/>
          <w:sz w:val="16"/>
          <w:szCs w:val="16"/>
        </w:rPr>
        <w:t>. Casson, I., Gemmill, M., Green, L., Grier, E., Hung,</w:t>
      </w:r>
      <w:r>
        <w:rPr>
          <w:rFonts w:ascii="Lato" w:hAnsi="Lato"/>
          <w:sz w:val="16"/>
          <w:szCs w:val="16"/>
        </w:rPr>
        <w:t xml:space="preserve"> </w:t>
      </w:r>
      <w:r w:rsidRPr="007D3F78">
        <w:rPr>
          <w:rFonts w:ascii="Lato" w:hAnsi="Lato"/>
          <w:sz w:val="16"/>
          <w:szCs w:val="16"/>
          <w:lang w:val="fr-CA"/>
        </w:rPr>
        <w:t xml:space="preserve">A., Ladouceur, J., </w:t>
      </w:r>
      <w:proofErr w:type="spellStart"/>
      <w:r w:rsidRPr="007D3F78">
        <w:rPr>
          <w:rFonts w:ascii="Lato" w:hAnsi="Lato"/>
          <w:sz w:val="16"/>
          <w:szCs w:val="16"/>
          <w:lang w:val="fr-CA"/>
        </w:rPr>
        <w:t>Lepp</w:t>
      </w:r>
      <w:proofErr w:type="spellEnd"/>
      <w:r w:rsidRPr="007D3F78">
        <w:rPr>
          <w:rFonts w:ascii="Lato" w:hAnsi="Lato"/>
          <w:sz w:val="16"/>
          <w:szCs w:val="16"/>
          <w:lang w:val="fr-CA"/>
        </w:rPr>
        <w:t>, A., Niel, U., Ross, M., Sullivan, W.; Programme de soins primaires aux adultes ayant une déficience intellectuelle de Surrey Place, Toronto, 2019</w:t>
      </w:r>
      <w:r w:rsidRPr="007D3F78">
        <w:rPr>
          <w:rStyle w:val="Hyperlink"/>
          <w:rFonts w:ascii="Lato" w:hAnsi="Lato"/>
          <w:color w:val="auto"/>
          <w:sz w:val="16"/>
          <w:szCs w:val="16"/>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A6B1" w14:textId="5D10E197" w:rsidR="00954275" w:rsidRPr="00B71D77" w:rsidRDefault="007D02AA" w:rsidP="007D02AA">
    <w:pPr>
      <w:pStyle w:val="Header"/>
      <w:tabs>
        <w:tab w:val="clear" w:pos="4680"/>
        <w:tab w:val="clear" w:pos="9360"/>
        <w:tab w:val="center" w:pos="5529"/>
        <w:tab w:val="right" w:pos="10800"/>
      </w:tabs>
      <w:spacing w:before="240"/>
      <w:rPr>
        <w:rFonts w:ascii="Lato" w:hAnsi="Lato"/>
        <w:sz w:val="16"/>
        <w:szCs w:val="16"/>
      </w:rPr>
    </w:pPr>
    <w:r w:rsidRPr="00B71D77">
      <w:rPr>
        <w:rFonts w:ascii="Lato" w:hAnsi="Lato"/>
        <w:sz w:val="16"/>
        <w:szCs w:val="16"/>
      </w:rPr>
      <w:t>Novemb</w:t>
    </w:r>
    <w:r w:rsidR="00B71D77">
      <w:rPr>
        <w:rFonts w:ascii="Lato" w:hAnsi="Lato"/>
        <w:sz w:val="16"/>
        <w:szCs w:val="16"/>
      </w:rPr>
      <w:t>re</w:t>
    </w:r>
    <w:r w:rsidRPr="00B71D77">
      <w:rPr>
        <w:rFonts w:ascii="Lato" w:hAnsi="Lato"/>
        <w:sz w:val="16"/>
        <w:szCs w:val="16"/>
      </w:rPr>
      <w:t xml:space="preserve"> 2023</w:t>
    </w:r>
    <w:r w:rsidRPr="00B71D77">
      <w:rPr>
        <w:rFonts w:ascii="Lato" w:hAnsi="Lato"/>
        <w:sz w:val="16"/>
        <w:szCs w:val="16"/>
      </w:rPr>
      <w:tab/>
      <w:t>ddprimarycare.surreyplace.ca</w:t>
    </w:r>
    <w:r w:rsidR="00954275" w:rsidRPr="00B71D77">
      <w:rPr>
        <w:rFonts w:ascii="Lato" w:hAnsi="Lato"/>
        <w:i/>
        <w:sz w:val="16"/>
        <w:szCs w:val="16"/>
      </w:rPr>
      <w:tab/>
      <w:t xml:space="preserve"> </w:t>
    </w:r>
    <w:r w:rsidR="00F5185F" w:rsidRPr="00B71D77">
      <w:rPr>
        <w:rFonts w:ascii="Lato" w:hAnsi="Lato"/>
        <w:i/>
        <w:sz w:val="16"/>
        <w:szCs w:val="16"/>
      </w:rPr>
      <w:t xml:space="preserve">Page </w:t>
    </w:r>
    <w:r w:rsidR="00F5185F" w:rsidRPr="00B71D77">
      <w:rPr>
        <w:rFonts w:ascii="Lato" w:hAnsi="Lato"/>
        <w:b/>
        <w:bCs/>
        <w:i/>
        <w:sz w:val="16"/>
        <w:szCs w:val="16"/>
      </w:rPr>
      <w:fldChar w:fldCharType="begin"/>
    </w:r>
    <w:r w:rsidR="00F5185F" w:rsidRPr="00B71D77">
      <w:rPr>
        <w:rFonts w:ascii="Lato" w:hAnsi="Lato"/>
        <w:b/>
        <w:bCs/>
        <w:i/>
        <w:sz w:val="16"/>
        <w:szCs w:val="16"/>
      </w:rPr>
      <w:instrText xml:space="preserve"> PAGE  \* Arabic  \* MERGEFORMAT </w:instrText>
    </w:r>
    <w:r w:rsidR="00F5185F" w:rsidRPr="00B71D77">
      <w:rPr>
        <w:rFonts w:ascii="Lato" w:hAnsi="Lato"/>
        <w:b/>
        <w:bCs/>
        <w:i/>
        <w:sz w:val="16"/>
        <w:szCs w:val="16"/>
      </w:rPr>
      <w:fldChar w:fldCharType="separate"/>
    </w:r>
    <w:r w:rsidR="00F5185F" w:rsidRPr="00B71D77">
      <w:rPr>
        <w:rFonts w:ascii="Lato" w:hAnsi="Lato"/>
        <w:b/>
        <w:bCs/>
        <w:i/>
        <w:noProof/>
        <w:sz w:val="16"/>
        <w:szCs w:val="16"/>
      </w:rPr>
      <w:t>1</w:t>
    </w:r>
    <w:r w:rsidR="00F5185F" w:rsidRPr="00B71D77">
      <w:rPr>
        <w:rFonts w:ascii="Lato" w:hAnsi="Lato"/>
        <w:b/>
        <w:bCs/>
        <w:i/>
        <w:sz w:val="16"/>
        <w:szCs w:val="16"/>
      </w:rPr>
      <w:fldChar w:fldCharType="end"/>
    </w:r>
    <w:r w:rsidR="00F5185F" w:rsidRPr="00B71D77">
      <w:rPr>
        <w:rFonts w:ascii="Lato" w:hAnsi="Lato"/>
        <w:i/>
        <w:sz w:val="16"/>
        <w:szCs w:val="16"/>
      </w:rPr>
      <w:t xml:space="preserve"> </w:t>
    </w:r>
    <w:r w:rsidR="00B71D77">
      <w:rPr>
        <w:rFonts w:ascii="Lato" w:hAnsi="Lato"/>
        <w:i/>
        <w:sz w:val="16"/>
        <w:szCs w:val="16"/>
      </w:rPr>
      <w:t>sur</w:t>
    </w:r>
    <w:r w:rsidR="00F5185F" w:rsidRPr="00B71D77">
      <w:rPr>
        <w:rFonts w:ascii="Lato" w:hAnsi="Lato"/>
        <w:i/>
        <w:sz w:val="16"/>
        <w:szCs w:val="16"/>
      </w:rPr>
      <w:t xml:space="preserve"> </w:t>
    </w:r>
    <w:r w:rsidR="00F5185F" w:rsidRPr="00B71D77">
      <w:rPr>
        <w:rFonts w:ascii="Lato" w:hAnsi="Lato"/>
        <w:b/>
        <w:bCs/>
        <w:i/>
        <w:sz w:val="16"/>
        <w:szCs w:val="16"/>
      </w:rPr>
      <w:fldChar w:fldCharType="begin"/>
    </w:r>
    <w:r w:rsidR="00F5185F" w:rsidRPr="00B71D77">
      <w:rPr>
        <w:rFonts w:ascii="Lato" w:hAnsi="Lato"/>
        <w:b/>
        <w:bCs/>
        <w:i/>
        <w:sz w:val="16"/>
        <w:szCs w:val="16"/>
      </w:rPr>
      <w:instrText xml:space="preserve"> NUMPAGES  \* Arabic  \* MERGEFORMAT </w:instrText>
    </w:r>
    <w:r w:rsidR="00F5185F" w:rsidRPr="00B71D77">
      <w:rPr>
        <w:rFonts w:ascii="Lato" w:hAnsi="Lato"/>
        <w:b/>
        <w:bCs/>
        <w:i/>
        <w:sz w:val="16"/>
        <w:szCs w:val="16"/>
      </w:rPr>
      <w:fldChar w:fldCharType="separate"/>
    </w:r>
    <w:r w:rsidR="00F5185F" w:rsidRPr="00B71D77">
      <w:rPr>
        <w:rFonts w:ascii="Lato" w:hAnsi="Lato"/>
        <w:b/>
        <w:bCs/>
        <w:i/>
        <w:noProof/>
        <w:sz w:val="16"/>
        <w:szCs w:val="16"/>
      </w:rPr>
      <w:t>2</w:t>
    </w:r>
    <w:r w:rsidR="00F5185F" w:rsidRPr="00B71D77">
      <w:rPr>
        <w:rFonts w:ascii="Lato" w:hAnsi="Lato"/>
        <w:b/>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D8AF" w14:textId="1BE17B53" w:rsidR="00F5185F" w:rsidRPr="00B71D77" w:rsidRDefault="007D02AA" w:rsidP="007D02AA">
    <w:pPr>
      <w:pStyle w:val="Header"/>
      <w:tabs>
        <w:tab w:val="clear" w:pos="4680"/>
        <w:tab w:val="clear" w:pos="9360"/>
        <w:tab w:val="center" w:pos="5529"/>
        <w:tab w:val="right" w:pos="10710"/>
      </w:tabs>
      <w:rPr>
        <w:rFonts w:ascii="Lato" w:hAnsi="Lato"/>
        <w:sz w:val="16"/>
        <w:szCs w:val="16"/>
      </w:rPr>
    </w:pPr>
    <w:r w:rsidRPr="00B71D77">
      <w:rPr>
        <w:rFonts w:ascii="Lato" w:hAnsi="Lato"/>
        <w:sz w:val="16"/>
        <w:szCs w:val="16"/>
      </w:rPr>
      <w:t>Novemb</w:t>
    </w:r>
    <w:r w:rsidR="00B71D77">
      <w:rPr>
        <w:rFonts w:ascii="Lato" w:hAnsi="Lato"/>
        <w:sz w:val="16"/>
        <w:szCs w:val="16"/>
      </w:rPr>
      <w:t>re</w:t>
    </w:r>
    <w:r w:rsidRPr="00B71D77">
      <w:rPr>
        <w:rFonts w:ascii="Lato" w:hAnsi="Lato"/>
        <w:sz w:val="16"/>
        <w:szCs w:val="16"/>
      </w:rPr>
      <w:t xml:space="preserve"> 2023</w:t>
    </w:r>
    <w:r w:rsidRPr="00B71D77">
      <w:rPr>
        <w:rFonts w:ascii="Lato" w:hAnsi="Lato"/>
        <w:sz w:val="16"/>
        <w:szCs w:val="16"/>
      </w:rPr>
      <w:tab/>
      <w:t>ddprimarycare.surreyplace.ca</w:t>
    </w:r>
    <w:r w:rsidR="00F5185F" w:rsidRPr="00B71D77">
      <w:rPr>
        <w:rFonts w:ascii="Lato" w:hAnsi="Lato"/>
        <w:i/>
        <w:sz w:val="16"/>
        <w:szCs w:val="16"/>
      </w:rPr>
      <w:tab/>
      <w:t xml:space="preserve"> Page </w:t>
    </w:r>
    <w:r w:rsidR="00F5185F" w:rsidRPr="00B71D77">
      <w:rPr>
        <w:rFonts w:ascii="Lato" w:hAnsi="Lato"/>
        <w:b/>
        <w:bCs/>
        <w:i/>
        <w:sz w:val="16"/>
        <w:szCs w:val="16"/>
      </w:rPr>
      <w:fldChar w:fldCharType="begin"/>
    </w:r>
    <w:r w:rsidR="00F5185F" w:rsidRPr="00B71D77">
      <w:rPr>
        <w:rFonts w:ascii="Lato" w:hAnsi="Lato"/>
        <w:b/>
        <w:bCs/>
        <w:i/>
        <w:sz w:val="16"/>
        <w:szCs w:val="16"/>
      </w:rPr>
      <w:instrText xml:space="preserve"> PAGE  \* Arabic  \* MERGEFORMAT </w:instrText>
    </w:r>
    <w:r w:rsidR="00F5185F" w:rsidRPr="00B71D77">
      <w:rPr>
        <w:rFonts w:ascii="Lato" w:hAnsi="Lato"/>
        <w:b/>
        <w:bCs/>
        <w:i/>
        <w:sz w:val="16"/>
        <w:szCs w:val="16"/>
      </w:rPr>
      <w:fldChar w:fldCharType="separate"/>
    </w:r>
    <w:r w:rsidR="00F5185F" w:rsidRPr="00B71D77">
      <w:rPr>
        <w:rFonts w:ascii="Lato" w:hAnsi="Lato"/>
        <w:b/>
        <w:bCs/>
        <w:i/>
        <w:noProof/>
        <w:sz w:val="16"/>
        <w:szCs w:val="16"/>
      </w:rPr>
      <w:t>1</w:t>
    </w:r>
    <w:r w:rsidR="00F5185F" w:rsidRPr="00B71D77">
      <w:rPr>
        <w:rFonts w:ascii="Lato" w:hAnsi="Lato"/>
        <w:b/>
        <w:bCs/>
        <w:i/>
        <w:sz w:val="16"/>
        <w:szCs w:val="16"/>
      </w:rPr>
      <w:fldChar w:fldCharType="end"/>
    </w:r>
    <w:r w:rsidR="00F5185F" w:rsidRPr="00B71D77">
      <w:rPr>
        <w:rFonts w:ascii="Lato" w:hAnsi="Lato"/>
        <w:i/>
        <w:sz w:val="16"/>
        <w:szCs w:val="16"/>
      </w:rPr>
      <w:t xml:space="preserve"> </w:t>
    </w:r>
    <w:r w:rsidR="00B71D77">
      <w:rPr>
        <w:rFonts w:ascii="Lato" w:hAnsi="Lato"/>
        <w:i/>
        <w:sz w:val="16"/>
        <w:szCs w:val="16"/>
      </w:rPr>
      <w:t>sur</w:t>
    </w:r>
    <w:r w:rsidR="00F5185F" w:rsidRPr="00B71D77">
      <w:rPr>
        <w:rFonts w:ascii="Lato" w:hAnsi="Lato"/>
        <w:i/>
        <w:sz w:val="16"/>
        <w:szCs w:val="16"/>
      </w:rPr>
      <w:t xml:space="preserve"> </w:t>
    </w:r>
    <w:r w:rsidR="00F5185F" w:rsidRPr="00B71D77">
      <w:rPr>
        <w:rFonts w:ascii="Lato" w:hAnsi="Lato"/>
        <w:b/>
        <w:bCs/>
        <w:i/>
        <w:sz w:val="16"/>
        <w:szCs w:val="16"/>
      </w:rPr>
      <w:fldChar w:fldCharType="begin"/>
    </w:r>
    <w:r w:rsidR="00F5185F" w:rsidRPr="00B71D77">
      <w:rPr>
        <w:rFonts w:ascii="Lato" w:hAnsi="Lato"/>
        <w:b/>
        <w:bCs/>
        <w:i/>
        <w:sz w:val="16"/>
        <w:szCs w:val="16"/>
      </w:rPr>
      <w:instrText xml:space="preserve"> NUMPAGES  \* Arabic  \* MERGEFORMAT </w:instrText>
    </w:r>
    <w:r w:rsidR="00F5185F" w:rsidRPr="00B71D77">
      <w:rPr>
        <w:rFonts w:ascii="Lato" w:hAnsi="Lato"/>
        <w:b/>
        <w:bCs/>
        <w:i/>
        <w:sz w:val="16"/>
        <w:szCs w:val="16"/>
      </w:rPr>
      <w:fldChar w:fldCharType="separate"/>
    </w:r>
    <w:r w:rsidR="00F5185F" w:rsidRPr="00B71D77">
      <w:rPr>
        <w:rFonts w:ascii="Lato" w:hAnsi="Lato"/>
        <w:b/>
        <w:bCs/>
        <w:i/>
        <w:noProof/>
        <w:sz w:val="16"/>
        <w:szCs w:val="16"/>
      </w:rPr>
      <w:t>2</w:t>
    </w:r>
    <w:r w:rsidR="00F5185F" w:rsidRPr="00B71D77">
      <w:rPr>
        <w:rFonts w:ascii="Lato" w:hAnsi="Lato"/>
        <w:b/>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C71F" w14:textId="77777777" w:rsidR="007978FC" w:rsidRDefault="007978FC" w:rsidP="00941025">
      <w:r>
        <w:separator/>
      </w:r>
    </w:p>
  </w:footnote>
  <w:footnote w:type="continuationSeparator" w:id="0">
    <w:p w14:paraId="11BC4493" w14:textId="77777777" w:rsidR="007978FC" w:rsidRDefault="007978FC" w:rsidP="00941025">
      <w:r>
        <w:continuationSeparator/>
      </w:r>
    </w:p>
  </w:footnote>
  <w:footnote w:type="continuationNotice" w:id="1">
    <w:p w14:paraId="45E639FA" w14:textId="77777777" w:rsidR="007978FC" w:rsidRDefault="007978FC" w:rsidP="0094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12" w:space="0" w:color="8BAE3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64"/>
      <w:gridCol w:w="2816"/>
    </w:tblGrid>
    <w:tr w:rsidR="00C030C0" w14:paraId="073A4BD6" w14:textId="77777777" w:rsidTr="001A51DF">
      <w:tc>
        <w:tcPr>
          <w:tcW w:w="7891" w:type="dxa"/>
          <w:tcMar>
            <w:left w:w="0" w:type="dxa"/>
            <w:bottom w:w="115" w:type="dxa"/>
            <w:right w:w="115" w:type="dxa"/>
          </w:tcMar>
        </w:tcPr>
        <w:p w14:paraId="6A470414" w14:textId="6FCE1DA0" w:rsidR="00C030C0" w:rsidRDefault="00C030C0" w:rsidP="00941025">
          <w:pPr>
            <w:pStyle w:val="Header"/>
          </w:pPr>
          <w:bookmarkStart w:id="12" w:name="_Hlk150166443"/>
          <w:r>
            <w:rPr>
              <w:noProof/>
            </w:rPr>
            <w:drawing>
              <wp:inline distT="0" distB="0" distL="0" distR="0" wp14:anchorId="627C05CA" wp14:editId="4AF7074D">
                <wp:extent cx="2468880" cy="284892"/>
                <wp:effectExtent l="0" t="0" r="0" b="1270"/>
                <wp:docPr id="485883227" name="Picture 4858832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23"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2744" t="39448" r="3830" b="31493"/>
                        <a:stretch/>
                      </pic:blipFill>
                      <pic:spPr bwMode="auto">
                        <a:xfrm>
                          <a:off x="0" y="0"/>
                          <a:ext cx="2468880" cy="284892"/>
                        </a:xfrm>
                        <a:prstGeom prst="rect">
                          <a:avLst/>
                        </a:prstGeom>
                        <a:ln>
                          <a:noFill/>
                        </a:ln>
                        <a:extLst>
                          <a:ext uri="{53640926-AAD7-44D8-BBD7-CCE9431645EC}">
                            <a14:shadowObscured xmlns:a14="http://schemas.microsoft.com/office/drawing/2010/main"/>
                          </a:ext>
                        </a:extLst>
                      </pic:spPr>
                    </pic:pic>
                  </a:graphicData>
                </a:graphic>
              </wp:inline>
            </w:drawing>
          </w:r>
        </w:p>
      </w:tc>
      <w:tc>
        <w:tcPr>
          <w:tcW w:w="2722" w:type="dxa"/>
          <w:tcMar>
            <w:left w:w="115" w:type="dxa"/>
            <w:bottom w:w="115" w:type="dxa"/>
            <w:right w:w="115" w:type="dxa"/>
          </w:tcMar>
          <w:vAlign w:val="center"/>
        </w:tcPr>
        <w:p w14:paraId="2870B772" w14:textId="41D42FA9" w:rsidR="00C030C0" w:rsidRPr="009B13AC" w:rsidRDefault="002108AA" w:rsidP="00BE3ECD">
          <w:pPr>
            <w:pStyle w:val="NoSpacing"/>
          </w:pPr>
          <w:r w:rsidRPr="002108AA">
            <w:rPr>
              <w:lang w:val="fr-CA"/>
            </w:rPr>
            <w:t>Programme de soins primaires aux adultes ayant une déficience intellectuelle</w:t>
          </w:r>
        </w:p>
      </w:tc>
    </w:tr>
  </w:tbl>
  <w:bookmarkEnd w:id="12"/>
  <w:p w14:paraId="5FEB8B2C" w14:textId="7EF2364D" w:rsidR="00C030C0" w:rsidRPr="00EB6A7A" w:rsidRDefault="0045556D" w:rsidP="00EB6A7A">
    <w:pPr>
      <w:pStyle w:val="Header"/>
      <w:tabs>
        <w:tab w:val="clear" w:pos="4680"/>
        <w:tab w:val="clear" w:pos="9360"/>
        <w:tab w:val="left" w:pos="1957"/>
      </w:tabs>
      <w:spacing w:after="0"/>
      <w:rPr>
        <w:rFonts w:ascii="Lato" w:hAnsi="Lato"/>
        <w:sz w:val="16"/>
        <w:szCs w:val="1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12" w:space="0" w:color="8BAE3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30"/>
      <w:gridCol w:w="2770"/>
    </w:tblGrid>
    <w:tr w:rsidR="00C030C0" w14:paraId="40BD7B4B" w14:textId="77777777" w:rsidTr="0045556D">
      <w:trPr>
        <w:trHeight w:val="83"/>
      </w:trPr>
      <w:tc>
        <w:tcPr>
          <w:tcW w:w="7891" w:type="dxa"/>
          <w:tcMar>
            <w:left w:w="0" w:type="dxa"/>
            <w:bottom w:w="115" w:type="dxa"/>
            <w:right w:w="115" w:type="dxa"/>
          </w:tcMar>
        </w:tcPr>
        <w:p w14:paraId="68A1CB7C" w14:textId="63A6D6C1" w:rsidR="00C030C0" w:rsidRDefault="00C030C0" w:rsidP="00941025">
          <w:pPr>
            <w:pStyle w:val="Header"/>
          </w:pPr>
          <w:r>
            <w:rPr>
              <w:noProof/>
            </w:rPr>
            <w:drawing>
              <wp:inline distT="0" distB="0" distL="0" distR="0" wp14:anchorId="402FBDFE" wp14:editId="029899A3">
                <wp:extent cx="2468880" cy="284892"/>
                <wp:effectExtent l="0" t="0" r="0" b="1270"/>
                <wp:docPr id="320204909" name="Picture 32020490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23"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l="2744" t="39448" r="3830" b="31493"/>
                        <a:stretch/>
                      </pic:blipFill>
                      <pic:spPr bwMode="auto">
                        <a:xfrm>
                          <a:off x="0" y="0"/>
                          <a:ext cx="2468880" cy="284892"/>
                        </a:xfrm>
                        <a:prstGeom prst="rect">
                          <a:avLst/>
                        </a:prstGeom>
                        <a:ln>
                          <a:noFill/>
                        </a:ln>
                        <a:extLst>
                          <a:ext uri="{53640926-AAD7-44D8-BBD7-CCE9431645EC}">
                            <a14:shadowObscured xmlns:a14="http://schemas.microsoft.com/office/drawing/2010/main"/>
                          </a:ext>
                        </a:extLst>
                      </pic:spPr>
                    </pic:pic>
                  </a:graphicData>
                </a:graphic>
              </wp:inline>
            </w:drawing>
          </w:r>
        </w:p>
      </w:tc>
      <w:tc>
        <w:tcPr>
          <w:tcW w:w="2722" w:type="dxa"/>
          <w:tcMar>
            <w:left w:w="115" w:type="dxa"/>
            <w:bottom w:w="115" w:type="dxa"/>
            <w:right w:w="115" w:type="dxa"/>
          </w:tcMar>
          <w:vAlign w:val="center"/>
        </w:tcPr>
        <w:p w14:paraId="22084D48" w14:textId="77777777" w:rsidR="00C030C0" w:rsidRPr="0049609D" w:rsidRDefault="00C030C0" w:rsidP="00BE3ECD">
          <w:pPr>
            <w:pStyle w:val="NoSpacing"/>
          </w:pPr>
          <w:r w:rsidRPr="0049609D">
            <w:t xml:space="preserve">Developmental Disabilities </w:t>
          </w:r>
        </w:p>
        <w:p w14:paraId="338998F3" w14:textId="77777777" w:rsidR="00C030C0" w:rsidRPr="009B13AC" w:rsidRDefault="00C030C0" w:rsidP="00BE3ECD">
          <w:pPr>
            <w:pStyle w:val="NoSpacing"/>
          </w:pPr>
          <w:r w:rsidRPr="0049609D">
            <w:t>Primary Care Program</w:t>
          </w:r>
        </w:p>
      </w:tc>
    </w:tr>
  </w:tbl>
  <w:p w14:paraId="3BACA0CE" w14:textId="77777777" w:rsidR="00C030C0" w:rsidRDefault="00C030C0" w:rsidP="0045556D">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57C"/>
    <w:multiLevelType w:val="hybridMultilevel"/>
    <w:tmpl w:val="CE286FC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 w15:restartNumberingAfterBreak="0">
    <w:nsid w:val="0C973167"/>
    <w:multiLevelType w:val="hybridMultilevel"/>
    <w:tmpl w:val="D7AC5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D3BF6"/>
    <w:multiLevelType w:val="hybridMultilevel"/>
    <w:tmpl w:val="3258A77C"/>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399"/>
    <w:multiLevelType w:val="hybridMultilevel"/>
    <w:tmpl w:val="EC0660C0"/>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1D3E"/>
    <w:multiLevelType w:val="hybridMultilevel"/>
    <w:tmpl w:val="70A2876C"/>
    <w:lvl w:ilvl="0" w:tplc="0820239C">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D2FA2"/>
    <w:multiLevelType w:val="hybridMultilevel"/>
    <w:tmpl w:val="0BFE8590"/>
    <w:lvl w:ilvl="0" w:tplc="6F161E36">
      <w:numFmt w:val="bullet"/>
      <w:pStyle w:val="Endnote-Bullet-L2"/>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66EB4"/>
    <w:multiLevelType w:val="hybridMultilevel"/>
    <w:tmpl w:val="C660E67C"/>
    <w:lvl w:ilvl="0" w:tplc="FFFFFFFF">
      <w:start w:val="1"/>
      <w:numFmt w:val="bullet"/>
      <w:lvlText w:val=""/>
      <w:lvlJc w:val="left"/>
      <w:pPr>
        <w:ind w:left="1080" w:hanging="360"/>
      </w:pPr>
      <w:rPr>
        <w:rFonts w:ascii="Symbol" w:hAnsi="Symbol" w:hint="default"/>
      </w:rPr>
    </w:lvl>
    <w:lvl w:ilvl="1" w:tplc="B910183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EF561C7"/>
    <w:multiLevelType w:val="hybridMultilevel"/>
    <w:tmpl w:val="509CC5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51039F"/>
    <w:multiLevelType w:val="hybridMultilevel"/>
    <w:tmpl w:val="47306730"/>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0375F"/>
    <w:multiLevelType w:val="hybridMultilevel"/>
    <w:tmpl w:val="6C3A4C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2A7174DA"/>
    <w:multiLevelType w:val="hybridMultilevel"/>
    <w:tmpl w:val="3864E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65602"/>
    <w:multiLevelType w:val="hybridMultilevel"/>
    <w:tmpl w:val="93A6BE16"/>
    <w:lvl w:ilvl="0" w:tplc="D9AE758E">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FA6882"/>
    <w:multiLevelType w:val="hybridMultilevel"/>
    <w:tmpl w:val="0D4C8C42"/>
    <w:lvl w:ilvl="0" w:tplc="B8369532">
      <w:start w:val="1"/>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3" w15:restartNumberingAfterBreak="0">
    <w:nsid w:val="2D9C04E0"/>
    <w:multiLevelType w:val="hybridMultilevel"/>
    <w:tmpl w:val="69FE98DE"/>
    <w:lvl w:ilvl="0" w:tplc="56B01B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773C16"/>
    <w:multiLevelType w:val="hybridMultilevel"/>
    <w:tmpl w:val="C6E4CF2A"/>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75631"/>
    <w:multiLevelType w:val="hybridMultilevel"/>
    <w:tmpl w:val="C63EDF7A"/>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3DDD1A16"/>
    <w:multiLevelType w:val="hybridMultilevel"/>
    <w:tmpl w:val="103C2B24"/>
    <w:lvl w:ilvl="0" w:tplc="52A277EA">
      <w:start w:val="1"/>
      <w:numFmt w:val="bullet"/>
      <w:pStyle w:val="Endnote-Bullet-L1"/>
      <w:lvlText w:val="»"/>
      <w:lvlJc w:val="left"/>
      <w:pPr>
        <w:ind w:left="4471" w:hanging="360"/>
      </w:pPr>
      <w:rPr>
        <w:rFonts w:ascii="Lato" w:hAnsi="Lato" w:hint="default"/>
        <w:b/>
        <w:bCs/>
      </w:rPr>
    </w:lvl>
    <w:lvl w:ilvl="1" w:tplc="FFFFFFFF" w:tentative="1">
      <w:start w:val="1"/>
      <w:numFmt w:val="bullet"/>
      <w:lvlText w:val="o"/>
      <w:lvlJc w:val="left"/>
      <w:pPr>
        <w:ind w:left="2892" w:hanging="360"/>
      </w:pPr>
      <w:rPr>
        <w:rFonts w:ascii="Courier New" w:hAnsi="Courier New" w:cs="Courier New" w:hint="default"/>
      </w:rPr>
    </w:lvl>
    <w:lvl w:ilvl="2" w:tplc="FFFFFFFF" w:tentative="1">
      <w:start w:val="1"/>
      <w:numFmt w:val="bullet"/>
      <w:lvlText w:val=""/>
      <w:lvlJc w:val="left"/>
      <w:pPr>
        <w:ind w:left="3612" w:hanging="360"/>
      </w:pPr>
      <w:rPr>
        <w:rFonts w:ascii="Wingdings" w:hAnsi="Wingdings" w:hint="default"/>
      </w:rPr>
    </w:lvl>
    <w:lvl w:ilvl="3" w:tplc="FFFFFFFF" w:tentative="1">
      <w:start w:val="1"/>
      <w:numFmt w:val="bullet"/>
      <w:lvlText w:val=""/>
      <w:lvlJc w:val="left"/>
      <w:pPr>
        <w:ind w:left="4332" w:hanging="360"/>
      </w:pPr>
      <w:rPr>
        <w:rFonts w:ascii="Symbol" w:hAnsi="Symbol" w:hint="default"/>
      </w:rPr>
    </w:lvl>
    <w:lvl w:ilvl="4" w:tplc="FFFFFFFF" w:tentative="1">
      <w:start w:val="1"/>
      <w:numFmt w:val="bullet"/>
      <w:lvlText w:val="o"/>
      <w:lvlJc w:val="left"/>
      <w:pPr>
        <w:ind w:left="5052" w:hanging="360"/>
      </w:pPr>
      <w:rPr>
        <w:rFonts w:ascii="Courier New" w:hAnsi="Courier New" w:cs="Courier New" w:hint="default"/>
      </w:rPr>
    </w:lvl>
    <w:lvl w:ilvl="5" w:tplc="FFFFFFFF" w:tentative="1">
      <w:start w:val="1"/>
      <w:numFmt w:val="bullet"/>
      <w:lvlText w:val=""/>
      <w:lvlJc w:val="left"/>
      <w:pPr>
        <w:ind w:left="5772" w:hanging="360"/>
      </w:pPr>
      <w:rPr>
        <w:rFonts w:ascii="Wingdings" w:hAnsi="Wingdings" w:hint="default"/>
      </w:rPr>
    </w:lvl>
    <w:lvl w:ilvl="6" w:tplc="FFFFFFFF" w:tentative="1">
      <w:start w:val="1"/>
      <w:numFmt w:val="bullet"/>
      <w:lvlText w:val=""/>
      <w:lvlJc w:val="left"/>
      <w:pPr>
        <w:ind w:left="6492" w:hanging="360"/>
      </w:pPr>
      <w:rPr>
        <w:rFonts w:ascii="Symbol" w:hAnsi="Symbol" w:hint="default"/>
      </w:rPr>
    </w:lvl>
    <w:lvl w:ilvl="7" w:tplc="FFFFFFFF" w:tentative="1">
      <w:start w:val="1"/>
      <w:numFmt w:val="bullet"/>
      <w:lvlText w:val="o"/>
      <w:lvlJc w:val="left"/>
      <w:pPr>
        <w:ind w:left="7212" w:hanging="360"/>
      </w:pPr>
      <w:rPr>
        <w:rFonts w:ascii="Courier New" w:hAnsi="Courier New" w:cs="Courier New" w:hint="default"/>
      </w:rPr>
    </w:lvl>
    <w:lvl w:ilvl="8" w:tplc="FFFFFFFF" w:tentative="1">
      <w:start w:val="1"/>
      <w:numFmt w:val="bullet"/>
      <w:lvlText w:val=""/>
      <w:lvlJc w:val="left"/>
      <w:pPr>
        <w:ind w:left="7932" w:hanging="360"/>
      </w:pPr>
      <w:rPr>
        <w:rFonts w:ascii="Wingdings" w:hAnsi="Wingdings" w:hint="default"/>
      </w:rPr>
    </w:lvl>
  </w:abstractNum>
  <w:abstractNum w:abstractNumId="17" w15:restartNumberingAfterBreak="0">
    <w:nsid w:val="445F2C0F"/>
    <w:multiLevelType w:val="hybridMultilevel"/>
    <w:tmpl w:val="E2A21A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C77137"/>
    <w:multiLevelType w:val="hybridMultilevel"/>
    <w:tmpl w:val="1B5C0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A92293"/>
    <w:multiLevelType w:val="hybridMultilevel"/>
    <w:tmpl w:val="1476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84422"/>
    <w:multiLevelType w:val="hybridMultilevel"/>
    <w:tmpl w:val="1B7A848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2A07849"/>
    <w:multiLevelType w:val="hybridMultilevel"/>
    <w:tmpl w:val="DBDE705E"/>
    <w:lvl w:ilvl="0" w:tplc="D7BC0A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66604"/>
    <w:multiLevelType w:val="hybridMultilevel"/>
    <w:tmpl w:val="A04E50AA"/>
    <w:lvl w:ilvl="0" w:tplc="01DCB418">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3" w15:restartNumberingAfterBreak="0">
    <w:nsid w:val="6409062E"/>
    <w:multiLevelType w:val="hybridMultilevel"/>
    <w:tmpl w:val="971C75F2"/>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A4E57"/>
    <w:multiLevelType w:val="hybridMultilevel"/>
    <w:tmpl w:val="B6A0D082"/>
    <w:lvl w:ilvl="0" w:tplc="9384D39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E1606F1"/>
    <w:multiLevelType w:val="hybridMultilevel"/>
    <w:tmpl w:val="F5F09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D755F2"/>
    <w:multiLevelType w:val="hybridMultilevel"/>
    <w:tmpl w:val="12B87722"/>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4E9D"/>
    <w:multiLevelType w:val="hybridMultilevel"/>
    <w:tmpl w:val="2056F16C"/>
    <w:lvl w:ilvl="0" w:tplc="CF58E8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23AAF"/>
    <w:multiLevelType w:val="hybridMultilevel"/>
    <w:tmpl w:val="EC40E7D8"/>
    <w:lvl w:ilvl="0" w:tplc="B9101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6625CD2"/>
    <w:multiLevelType w:val="hybridMultilevel"/>
    <w:tmpl w:val="61BCC34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2029284844">
    <w:abstractNumId w:val="17"/>
  </w:num>
  <w:num w:numId="2" w16cid:durableId="1650017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574398">
    <w:abstractNumId w:val="29"/>
  </w:num>
  <w:num w:numId="4" w16cid:durableId="288510057">
    <w:abstractNumId w:val="11"/>
  </w:num>
  <w:num w:numId="5" w16cid:durableId="2008434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090750">
    <w:abstractNumId w:val="0"/>
  </w:num>
  <w:num w:numId="7" w16cid:durableId="1123379088">
    <w:abstractNumId w:val="15"/>
  </w:num>
  <w:num w:numId="8" w16cid:durableId="1926760912">
    <w:abstractNumId w:val="22"/>
  </w:num>
  <w:num w:numId="9" w16cid:durableId="1430006790">
    <w:abstractNumId w:val="24"/>
  </w:num>
  <w:num w:numId="10" w16cid:durableId="457527289">
    <w:abstractNumId w:val="25"/>
  </w:num>
  <w:num w:numId="11" w16cid:durableId="643895869">
    <w:abstractNumId w:val="28"/>
  </w:num>
  <w:num w:numId="12" w16cid:durableId="1573616577">
    <w:abstractNumId w:val="6"/>
  </w:num>
  <w:num w:numId="13" w16cid:durableId="1525095667">
    <w:abstractNumId w:val="12"/>
  </w:num>
  <w:num w:numId="14" w16cid:durableId="2128573416">
    <w:abstractNumId w:val="7"/>
  </w:num>
  <w:num w:numId="15" w16cid:durableId="1593128006">
    <w:abstractNumId w:val="9"/>
  </w:num>
  <w:num w:numId="16" w16cid:durableId="530462458">
    <w:abstractNumId w:val="20"/>
  </w:num>
  <w:num w:numId="17" w16cid:durableId="1396850993">
    <w:abstractNumId w:val="18"/>
  </w:num>
  <w:num w:numId="18" w16cid:durableId="271523462">
    <w:abstractNumId w:val="10"/>
  </w:num>
  <w:num w:numId="19" w16cid:durableId="1676179085">
    <w:abstractNumId w:val="19"/>
  </w:num>
  <w:num w:numId="20" w16cid:durableId="1895703319">
    <w:abstractNumId w:val="5"/>
  </w:num>
  <w:num w:numId="21" w16cid:durableId="554700083">
    <w:abstractNumId w:val="3"/>
  </w:num>
  <w:num w:numId="22" w16cid:durableId="996110407">
    <w:abstractNumId w:val="14"/>
  </w:num>
  <w:num w:numId="23" w16cid:durableId="1075594683">
    <w:abstractNumId w:val="23"/>
  </w:num>
  <w:num w:numId="24" w16cid:durableId="1627659359">
    <w:abstractNumId w:val="8"/>
  </w:num>
  <w:num w:numId="25" w16cid:durableId="1875117535">
    <w:abstractNumId w:val="27"/>
  </w:num>
  <w:num w:numId="26" w16cid:durableId="266740730">
    <w:abstractNumId w:val="26"/>
  </w:num>
  <w:num w:numId="27" w16cid:durableId="748119763">
    <w:abstractNumId w:val="2"/>
  </w:num>
  <w:num w:numId="28" w16cid:durableId="119736430">
    <w:abstractNumId w:val="1"/>
  </w:num>
  <w:num w:numId="29" w16cid:durableId="1973168561">
    <w:abstractNumId w:val="16"/>
  </w:num>
  <w:num w:numId="30" w16cid:durableId="1486315866">
    <w:abstractNumId w:val="4"/>
  </w:num>
  <w:num w:numId="31" w16cid:durableId="2144150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1NLYwtzA3NTA1MTJT0lEKTi0uzszPAykwqQUAGU9LGywAAAA="/>
  </w:docVars>
  <w:rsids>
    <w:rsidRoot w:val="002C766D"/>
    <w:rsid w:val="00000C15"/>
    <w:rsid w:val="00001E15"/>
    <w:rsid w:val="0000208B"/>
    <w:rsid w:val="000020BE"/>
    <w:rsid w:val="00010746"/>
    <w:rsid w:val="00012796"/>
    <w:rsid w:val="00013D36"/>
    <w:rsid w:val="0002021E"/>
    <w:rsid w:val="00020338"/>
    <w:rsid w:val="000215DB"/>
    <w:rsid w:val="00023134"/>
    <w:rsid w:val="00025470"/>
    <w:rsid w:val="00025564"/>
    <w:rsid w:val="0002571F"/>
    <w:rsid w:val="0003054B"/>
    <w:rsid w:val="00033DE5"/>
    <w:rsid w:val="00037370"/>
    <w:rsid w:val="00037975"/>
    <w:rsid w:val="00044BD4"/>
    <w:rsid w:val="00046C2B"/>
    <w:rsid w:val="00047872"/>
    <w:rsid w:val="00050B06"/>
    <w:rsid w:val="00050CA0"/>
    <w:rsid w:val="000555ED"/>
    <w:rsid w:val="00057804"/>
    <w:rsid w:val="000622E6"/>
    <w:rsid w:val="00065AB9"/>
    <w:rsid w:val="00066BB2"/>
    <w:rsid w:val="000701A4"/>
    <w:rsid w:val="00071E49"/>
    <w:rsid w:val="0007315B"/>
    <w:rsid w:val="00073F58"/>
    <w:rsid w:val="00076507"/>
    <w:rsid w:val="000801F6"/>
    <w:rsid w:val="000807D4"/>
    <w:rsid w:val="00080F4A"/>
    <w:rsid w:val="00082CE9"/>
    <w:rsid w:val="0008566A"/>
    <w:rsid w:val="0008577B"/>
    <w:rsid w:val="000866AB"/>
    <w:rsid w:val="00091A4B"/>
    <w:rsid w:val="00092FC4"/>
    <w:rsid w:val="00094B08"/>
    <w:rsid w:val="000A01CF"/>
    <w:rsid w:val="000A1CAC"/>
    <w:rsid w:val="000A65EB"/>
    <w:rsid w:val="000A77DF"/>
    <w:rsid w:val="000B0EB6"/>
    <w:rsid w:val="000B184B"/>
    <w:rsid w:val="000B35C7"/>
    <w:rsid w:val="000B4B92"/>
    <w:rsid w:val="000B5365"/>
    <w:rsid w:val="000B66F3"/>
    <w:rsid w:val="000B7E70"/>
    <w:rsid w:val="000C277B"/>
    <w:rsid w:val="000C3360"/>
    <w:rsid w:val="000C3569"/>
    <w:rsid w:val="000C73FE"/>
    <w:rsid w:val="000D3302"/>
    <w:rsid w:val="000D3FAB"/>
    <w:rsid w:val="000D78D3"/>
    <w:rsid w:val="000E257B"/>
    <w:rsid w:val="000E3BC9"/>
    <w:rsid w:val="000E7023"/>
    <w:rsid w:val="000F0136"/>
    <w:rsid w:val="000F018E"/>
    <w:rsid w:val="000F2AAA"/>
    <w:rsid w:val="000F318F"/>
    <w:rsid w:val="000F658C"/>
    <w:rsid w:val="000F7C8E"/>
    <w:rsid w:val="00101A22"/>
    <w:rsid w:val="00104177"/>
    <w:rsid w:val="00106000"/>
    <w:rsid w:val="0010634E"/>
    <w:rsid w:val="00110754"/>
    <w:rsid w:val="00115573"/>
    <w:rsid w:val="00121285"/>
    <w:rsid w:val="001226F4"/>
    <w:rsid w:val="00127457"/>
    <w:rsid w:val="0013793F"/>
    <w:rsid w:val="00141462"/>
    <w:rsid w:val="00153311"/>
    <w:rsid w:val="00153536"/>
    <w:rsid w:val="001542B4"/>
    <w:rsid w:val="00163599"/>
    <w:rsid w:val="0016538B"/>
    <w:rsid w:val="00170458"/>
    <w:rsid w:val="00171C02"/>
    <w:rsid w:val="001735EB"/>
    <w:rsid w:val="001736BB"/>
    <w:rsid w:val="001773A7"/>
    <w:rsid w:val="00177CC2"/>
    <w:rsid w:val="00182527"/>
    <w:rsid w:val="00186A2C"/>
    <w:rsid w:val="0019309D"/>
    <w:rsid w:val="00193CA2"/>
    <w:rsid w:val="001A51DF"/>
    <w:rsid w:val="001B1F57"/>
    <w:rsid w:val="001B39C2"/>
    <w:rsid w:val="001B424D"/>
    <w:rsid w:val="001B74B7"/>
    <w:rsid w:val="001C1B02"/>
    <w:rsid w:val="001C2115"/>
    <w:rsid w:val="001C59DC"/>
    <w:rsid w:val="001C640B"/>
    <w:rsid w:val="001C7F11"/>
    <w:rsid w:val="001C7FEB"/>
    <w:rsid w:val="001D362E"/>
    <w:rsid w:val="001D38B2"/>
    <w:rsid w:val="001E3A9C"/>
    <w:rsid w:val="001E7A0B"/>
    <w:rsid w:val="002012C2"/>
    <w:rsid w:val="00201572"/>
    <w:rsid w:val="00204D69"/>
    <w:rsid w:val="002108AA"/>
    <w:rsid w:val="00213DAF"/>
    <w:rsid w:val="00215C76"/>
    <w:rsid w:val="002174AC"/>
    <w:rsid w:val="00222FF7"/>
    <w:rsid w:val="00225455"/>
    <w:rsid w:val="002303CF"/>
    <w:rsid w:val="0023074A"/>
    <w:rsid w:val="0023190E"/>
    <w:rsid w:val="0023633E"/>
    <w:rsid w:val="00237009"/>
    <w:rsid w:val="002373DF"/>
    <w:rsid w:val="00253DC3"/>
    <w:rsid w:val="0025771C"/>
    <w:rsid w:val="00262AFA"/>
    <w:rsid w:val="00267A19"/>
    <w:rsid w:val="00273A1C"/>
    <w:rsid w:val="002765CF"/>
    <w:rsid w:val="00281004"/>
    <w:rsid w:val="00283E95"/>
    <w:rsid w:val="0028796D"/>
    <w:rsid w:val="00287CAA"/>
    <w:rsid w:val="00290523"/>
    <w:rsid w:val="0029221C"/>
    <w:rsid w:val="002930A3"/>
    <w:rsid w:val="00296C02"/>
    <w:rsid w:val="002A3572"/>
    <w:rsid w:val="002A5934"/>
    <w:rsid w:val="002A6253"/>
    <w:rsid w:val="002B5F7F"/>
    <w:rsid w:val="002C0512"/>
    <w:rsid w:val="002C0A6E"/>
    <w:rsid w:val="002C2620"/>
    <w:rsid w:val="002C30B6"/>
    <w:rsid w:val="002C6B37"/>
    <w:rsid w:val="002C766D"/>
    <w:rsid w:val="002D19BC"/>
    <w:rsid w:val="002D5239"/>
    <w:rsid w:val="002D5268"/>
    <w:rsid w:val="002D5317"/>
    <w:rsid w:val="002D6410"/>
    <w:rsid w:val="002E0675"/>
    <w:rsid w:val="002F1A4A"/>
    <w:rsid w:val="002F3F58"/>
    <w:rsid w:val="002F75D5"/>
    <w:rsid w:val="0030120B"/>
    <w:rsid w:val="0030157C"/>
    <w:rsid w:val="00306892"/>
    <w:rsid w:val="003076C2"/>
    <w:rsid w:val="00314E04"/>
    <w:rsid w:val="0032022D"/>
    <w:rsid w:val="00325120"/>
    <w:rsid w:val="00325981"/>
    <w:rsid w:val="00330C9E"/>
    <w:rsid w:val="00333E34"/>
    <w:rsid w:val="0033745F"/>
    <w:rsid w:val="00337841"/>
    <w:rsid w:val="003440C2"/>
    <w:rsid w:val="00346315"/>
    <w:rsid w:val="003470BA"/>
    <w:rsid w:val="003536DD"/>
    <w:rsid w:val="003540DB"/>
    <w:rsid w:val="003549E7"/>
    <w:rsid w:val="00362A48"/>
    <w:rsid w:val="003640B4"/>
    <w:rsid w:val="0036702F"/>
    <w:rsid w:val="00370BD8"/>
    <w:rsid w:val="00375F48"/>
    <w:rsid w:val="003835D2"/>
    <w:rsid w:val="00383F6F"/>
    <w:rsid w:val="00384258"/>
    <w:rsid w:val="0038478F"/>
    <w:rsid w:val="0038545C"/>
    <w:rsid w:val="00390612"/>
    <w:rsid w:val="00394D12"/>
    <w:rsid w:val="00394E8E"/>
    <w:rsid w:val="003A31C7"/>
    <w:rsid w:val="003A3263"/>
    <w:rsid w:val="003A59ED"/>
    <w:rsid w:val="003A60EC"/>
    <w:rsid w:val="003B03F6"/>
    <w:rsid w:val="003B66C1"/>
    <w:rsid w:val="003C01A4"/>
    <w:rsid w:val="003C3EB7"/>
    <w:rsid w:val="003C48C7"/>
    <w:rsid w:val="003D16B1"/>
    <w:rsid w:val="003D2260"/>
    <w:rsid w:val="003D313F"/>
    <w:rsid w:val="003D52DE"/>
    <w:rsid w:val="003D71C4"/>
    <w:rsid w:val="003E6BA6"/>
    <w:rsid w:val="003F1C43"/>
    <w:rsid w:val="003F255C"/>
    <w:rsid w:val="003F44E8"/>
    <w:rsid w:val="003F6FC5"/>
    <w:rsid w:val="003F78F6"/>
    <w:rsid w:val="00401597"/>
    <w:rsid w:val="0040246F"/>
    <w:rsid w:val="00410AB1"/>
    <w:rsid w:val="0042035B"/>
    <w:rsid w:val="00420B3B"/>
    <w:rsid w:val="00421C4B"/>
    <w:rsid w:val="00422A1F"/>
    <w:rsid w:val="00423FB8"/>
    <w:rsid w:val="00432CA4"/>
    <w:rsid w:val="00443D5B"/>
    <w:rsid w:val="0044704D"/>
    <w:rsid w:val="00454E3C"/>
    <w:rsid w:val="0045556D"/>
    <w:rsid w:val="004616D8"/>
    <w:rsid w:val="00463334"/>
    <w:rsid w:val="00475CA7"/>
    <w:rsid w:val="00481288"/>
    <w:rsid w:val="00481679"/>
    <w:rsid w:val="00490609"/>
    <w:rsid w:val="00491FB4"/>
    <w:rsid w:val="00492B82"/>
    <w:rsid w:val="00492DF1"/>
    <w:rsid w:val="00497EB0"/>
    <w:rsid w:val="004A2825"/>
    <w:rsid w:val="004B3069"/>
    <w:rsid w:val="004B372D"/>
    <w:rsid w:val="004B7242"/>
    <w:rsid w:val="004B788C"/>
    <w:rsid w:val="004C129A"/>
    <w:rsid w:val="004C2CF4"/>
    <w:rsid w:val="004C3B30"/>
    <w:rsid w:val="004C4D2A"/>
    <w:rsid w:val="004C5633"/>
    <w:rsid w:val="004D432E"/>
    <w:rsid w:val="004D5587"/>
    <w:rsid w:val="004D57B8"/>
    <w:rsid w:val="004E57BC"/>
    <w:rsid w:val="004E6B20"/>
    <w:rsid w:val="004F12C4"/>
    <w:rsid w:val="004F14EA"/>
    <w:rsid w:val="004F22E2"/>
    <w:rsid w:val="004F2C5B"/>
    <w:rsid w:val="004F2DAB"/>
    <w:rsid w:val="004F576C"/>
    <w:rsid w:val="004F79F9"/>
    <w:rsid w:val="005032B2"/>
    <w:rsid w:val="0051206A"/>
    <w:rsid w:val="00516DC7"/>
    <w:rsid w:val="00542764"/>
    <w:rsid w:val="00547385"/>
    <w:rsid w:val="005551B3"/>
    <w:rsid w:val="005558B4"/>
    <w:rsid w:val="00557321"/>
    <w:rsid w:val="00560F05"/>
    <w:rsid w:val="00563A2C"/>
    <w:rsid w:val="0057128B"/>
    <w:rsid w:val="00571BAE"/>
    <w:rsid w:val="00573BEE"/>
    <w:rsid w:val="0057474E"/>
    <w:rsid w:val="00581853"/>
    <w:rsid w:val="00585DCA"/>
    <w:rsid w:val="005901FB"/>
    <w:rsid w:val="00590C17"/>
    <w:rsid w:val="005917C2"/>
    <w:rsid w:val="00593594"/>
    <w:rsid w:val="005A0DE9"/>
    <w:rsid w:val="005B4C87"/>
    <w:rsid w:val="005B51C8"/>
    <w:rsid w:val="005B59AB"/>
    <w:rsid w:val="005B5FDB"/>
    <w:rsid w:val="005B720F"/>
    <w:rsid w:val="005C2405"/>
    <w:rsid w:val="005C623D"/>
    <w:rsid w:val="005C7BCF"/>
    <w:rsid w:val="005D01B5"/>
    <w:rsid w:val="005D10B3"/>
    <w:rsid w:val="005D2B08"/>
    <w:rsid w:val="005D392A"/>
    <w:rsid w:val="005D6113"/>
    <w:rsid w:val="005D633D"/>
    <w:rsid w:val="005D70BC"/>
    <w:rsid w:val="005D7614"/>
    <w:rsid w:val="005E02E8"/>
    <w:rsid w:val="005E0419"/>
    <w:rsid w:val="005E0AB7"/>
    <w:rsid w:val="005E18C7"/>
    <w:rsid w:val="005E2CA7"/>
    <w:rsid w:val="005E37A0"/>
    <w:rsid w:val="005F0044"/>
    <w:rsid w:val="005F12A0"/>
    <w:rsid w:val="005F247C"/>
    <w:rsid w:val="005F2C1C"/>
    <w:rsid w:val="005F7139"/>
    <w:rsid w:val="005F734D"/>
    <w:rsid w:val="005F743F"/>
    <w:rsid w:val="00602BBA"/>
    <w:rsid w:val="00607DDC"/>
    <w:rsid w:val="00610D3E"/>
    <w:rsid w:val="00612084"/>
    <w:rsid w:val="00613F49"/>
    <w:rsid w:val="0061483C"/>
    <w:rsid w:val="00615027"/>
    <w:rsid w:val="00615AA1"/>
    <w:rsid w:val="00620310"/>
    <w:rsid w:val="00620C63"/>
    <w:rsid w:val="006214C9"/>
    <w:rsid w:val="006237EC"/>
    <w:rsid w:val="006249A0"/>
    <w:rsid w:val="00627354"/>
    <w:rsid w:val="00630A3C"/>
    <w:rsid w:val="0063189A"/>
    <w:rsid w:val="006337F2"/>
    <w:rsid w:val="0064249C"/>
    <w:rsid w:val="006476B6"/>
    <w:rsid w:val="006556E2"/>
    <w:rsid w:val="00655DA8"/>
    <w:rsid w:val="00656B04"/>
    <w:rsid w:val="0066497C"/>
    <w:rsid w:val="00665771"/>
    <w:rsid w:val="006663B9"/>
    <w:rsid w:val="0067141C"/>
    <w:rsid w:val="00674EBC"/>
    <w:rsid w:val="00676153"/>
    <w:rsid w:val="0067795D"/>
    <w:rsid w:val="00680D77"/>
    <w:rsid w:val="006810AE"/>
    <w:rsid w:val="00681A0B"/>
    <w:rsid w:val="006820DC"/>
    <w:rsid w:val="006860E9"/>
    <w:rsid w:val="006861A4"/>
    <w:rsid w:val="00687A10"/>
    <w:rsid w:val="0069085A"/>
    <w:rsid w:val="006920B7"/>
    <w:rsid w:val="006925AC"/>
    <w:rsid w:val="00693883"/>
    <w:rsid w:val="0069562C"/>
    <w:rsid w:val="0069605A"/>
    <w:rsid w:val="0069631F"/>
    <w:rsid w:val="006A114D"/>
    <w:rsid w:val="006A288B"/>
    <w:rsid w:val="006A5923"/>
    <w:rsid w:val="006B5AD2"/>
    <w:rsid w:val="006C047E"/>
    <w:rsid w:val="006C05FE"/>
    <w:rsid w:val="006C0A38"/>
    <w:rsid w:val="006C5D44"/>
    <w:rsid w:val="006D2420"/>
    <w:rsid w:val="006D4B5A"/>
    <w:rsid w:val="006D72AC"/>
    <w:rsid w:val="006D7939"/>
    <w:rsid w:val="006D7ED1"/>
    <w:rsid w:val="006E0C67"/>
    <w:rsid w:val="006F21E7"/>
    <w:rsid w:val="006F3B9E"/>
    <w:rsid w:val="006F4D13"/>
    <w:rsid w:val="006F755D"/>
    <w:rsid w:val="007077D8"/>
    <w:rsid w:val="00711AF9"/>
    <w:rsid w:val="00713265"/>
    <w:rsid w:val="0071673F"/>
    <w:rsid w:val="007223E5"/>
    <w:rsid w:val="007238A5"/>
    <w:rsid w:val="00724184"/>
    <w:rsid w:val="0072557F"/>
    <w:rsid w:val="00732486"/>
    <w:rsid w:val="00732F26"/>
    <w:rsid w:val="00734E30"/>
    <w:rsid w:val="00735B31"/>
    <w:rsid w:val="007363AD"/>
    <w:rsid w:val="007427F8"/>
    <w:rsid w:val="00745348"/>
    <w:rsid w:val="00747E5A"/>
    <w:rsid w:val="0075155D"/>
    <w:rsid w:val="00751765"/>
    <w:rsid w:val="007544D2"/>
    <w:rsid w:val="00754C7B"/>
    <w:rsid w:val="00756AB5"/>
    <w:rsid w:val="00765854"/>
    <w:rsid w:val="00766303"/>
    <w:rsid w:val="00766591"/>
    <w:rsid w:val="00777C5C"/>
    <w:rsid w:val="00782092"/>
    <w:rsid w:val="007835B4"/>
    <w:rsid w:val="00783E73"/>
    <w:rsid w:val="00785EDB"/>
    <w:rsid w:val="00792964"/>
    <w:rsid w:val="00793A84"/>
    <w:rsid w:val="00795417"/>
    <w:rsid w:val="007978FC"/>
    <w:rsid w:val="007A0659"/>
    <w:rsid w:val="007A3793"/>
    <w:rsid w:val="007A53D0"/>
    <w:rsid w:val="007B0654"/>
    <w:rsid w:val="007B0BDC"/>
    <w:rsid w:val="007B2527"/>
    <w:rsid w:val="007B3962"/>
    <w:rsid w:val="007B3E24"/>
    <w:rsid w:val="007B6C5C"/>
    <w:rsid w:val="007C1E9D"/>
    <w:rsid w:val="007C42D0"/>
    <w:rsid w:val="007C6CFC"/>
    <w:rsid w:val="007D02AA"/>
    <w:rsid w:val="007D08D0"/>
    <w:rsid w:val="007D38F4"/>
    <w:rsid w:val="007D3F78"/>
    <w:rsid w:val="007D73B0"/>
    <w:rsid w:val="007E007E"/>
    <w:rsid w:val="007E0195"/>
    <w:rsid w:val="007E3207"/>
    <w:rsid w:val="007F016F"/>
    <w:rsid w:val="00802319"/>
    <w:rsid w:val="00822B5B"/>
    <w:rsid w:val="00823EA5"/>
    <w:rsid w:val="00825BC5"/>
    <w:rsid w:val="00832E97"/>
    <w:rsid w:val="008363ED"/>
    <w:rsid w:val="00837BF6"/>
    <w:rsid w:val="0084198F"/>
    <w:rsid w:val="00846D3B"/>
    <w:rsid w:val="0085202A"/>
    <w:rsid w:val="00853596"/>
    <w:rsid w:val="00853801"/>
    <w:rsid w:val="00860D67"/>
    <w:rsid w:val="00861015"/>
    <w:rsid w:val="0086323F"/>
    <w:rsid w:val="008641CB"/>
    <w:rsid w:val="00864842"/>
    <w:rsid w:val="008654D8"/>
    <w:rsid w:val="008656D7"/>
    <w:rsid w:val="00866061"/>
    <w:rsid w:val="0086653F"/>
    <w:rsid w:val="00866E1F"/>
    <w:rsid w:val="00867BAD"/>
    <w:rsid w:val="008724E9"/>
    <w:rsid w:val="00872E3A"/>
    <w:rsid w:val="00876FDF"/>
    <w:rsid w:val="00882BBA"/>
    <w:rsid w:val="00883C12"/>
    <w:rsid w:val="0089007E"/>
    <w:rsid w:val="008909B8"/>
    <w:rsid w:val="00892F2E"/>
    <w:rsid w:val="008953EF"/>
    <w:rsid w:val="008A0D52"/>
    <w:rsid w:val="008A1173"/>
    <w:rsid w:val="008A5940"/>
    <w:rsid w:val="008B11C2"/>
    <w:rsid w:val="008B2425"/>
    <w:rsid w:val="008B332C"/>
    <w:rsid w:val="008B4AB0"/>
    <w:rsid w:val="008B4AC8"/>
    <w:rsid w:val="008B5549"/>
    <w:rsid w:val="008C6311"/>
    <w:rsid w:val="008C72E3"/>
    <w:rsid w:val="008D58A1"/>
    <w:rsid w:val="008E1D45"/>
    <w:rsid w:val="008E3366"/>
    <w:rsid w:val="008E3D31"/>
    <w:rsid w:val="008E3D44"/>
    <w:rsid w:val="008E79E9"/>
    <w:rsid w:val="008F01F4"/>
    <w:rsid w:val="008F23F3"/>
    <w:rsid w:val="008F2E75"/>
    <w:rsid w:val="008F6B9C"/>
    <w:rsid w:val="009042FA"/>
    <w:rsid w:val="00905C5E"/>
    <w:rsid w:val="00910A08"/>
    <w:rsid w:val="00910A39"/>
    <w:rsid w:val="00910CC2"/>
    <w:rsid w:val="00912354"/>
    <w:rsid w:val="00914DB3"/>
    <w:rsid w:val="00915D0A"/>
    <w:rsid w:val="00916FBA"/>
    <w:rsid w:val="00922244"/>
    <w:rsid w:val="00922E91"/>
    <w:rsid w:val="00932C59"/>
    <w:rsid w:val="0093367F"/>
    <w:rsid w:val="00934C82"/>
    <w:rsid w:val="00941025"/>
    <w:rsid w:val="009412D7"/>
    <w:rsid w:val="00953F1B"/>
    <w:rsid w:val="00954275"/>
    <w:rsid w:val="009575F0"/>
    <w:rsid w:val="00960280"/>
    <w:rsid w:val="00964092"/>
    <w:rsid w:val="00965709"/>
    <w:rsid w:val="00967095"/>
    <w:rsid w:val="00967ED3"/>
    <w:rsid w:val="009746C3"/>
    <w:rsid w:val="0097709A"/>
    <w:rsid w:val="00980718"/>
    <w:rsid w:val="009826E0"/>
    <w:rsid w:val="009833D4"/>
    <w:rsid w:val="00984207"/>
    <w:rsid w:val="00990B92"/>
    <w:rsid w:val="00990F27"/>
    <w:rsid w:val="00993D5B"/>
    <w:rsid w:val="009979B4"/>
    <w:rsid w:val="009A413B"/>
    <w:rsid w:val="009A587F"/>
    <w:rsid w:val="009A58D1"/>
    <w:rsid w:val="009B01D6"/>
    <w:rsid w:val="009B2D25"/>
    <w:rsid w:val="009B4380"/>
    <w:rsid w:val="009C0BF0"/>
    <w:rsid w:val="009C3116"/>
    <w:rsid w:val="009D048F"/>
    <w:rsid w:val="009D2157"/>
    <w:rsid w:val="009D33D2"/>
    <w:rsid w:val="009F2DBA"/>
    <w:rsid w:val="009F2F86"/>
    <w:rsid w:val="009F3863"/>
    <w:rsid w:val="009F3FEB"/>
    <w:rsid w:val="00A01A94"/>
    <w:rsid w:val="00A044ED"/>
    <w:rsid w:val="00A05F23"/>
    <w:rsid w:val="00A06F61"/>
    <w:rsid w:val="00A07521"/>
    <w:rsid w:val="00A10175"/>
    <w:rsid w:val="00A14424"/>
    <w:rsid w:val="00A16E79"/>
    <w:rsid w:val="00A22F99"/>
    <w:rsid w:val="00A248C3"/>
    <w:rsid w:val="00A26A42"/>
    <w:rsid w:val="00A26F02"/>
    <w:rsid w:val="00A32748"/>
    <w:rsid w:val="00A36117"/>
    <w:rsid w:val="00A36A95"/>
    <w:rsid w:val="00A3794C"/>
    <w:rsid w:val="00A40EB8"/>
    <w:rsid w:val="00A42254"/>
    <w:rsid w:val="00A432C7"/>
    <w:rsid w:val="00A5015D"/>
    <w:rsid w:val="00A51A2C"/>
    <w:rsid w:val="00A52091"/>
    <w:rsid w:val="00A6643F"/>
    <w:rsid w:val="00A66C82"/>
    <w:rsid w:val="00A66DEC"/>
    <w:rsid w:val="00A70620"/>
    <w:rsid w:val="00A828CF"/>
    <w:rsid w:val="00A82ED9"/>
    <w:rsid w:val="00A8352B"/>
    <w:rsid w:val="00A84A02"/>
    <w:rsid w:val="00A90C33"/>
    <w:rsid w:val="00A92241"/>
    <w:rsid w:val="00A95AC1"/>
    <w:rsid w:val="00A95CDB"/>
    <w:rsid w:val="00AA5C33"/>
    <w:rsid w:val="00AA6B8C"/>
    <w:rsid w:val="00AB0342"/>
    <w:rsid w:val="00AB3884"/>
    <w:rsid w:val="00AB4590"/>
    <w:rsid w:val="00AB7925"/>
    <w:rsid w:val="00AC5120"/>
    <w:rsid w:val="00AC5B4F"/>
    <w:rsid w:val="00AD25AD"/>
    <w:rsid w:val="00AD467D"/>
    <w:rsid w:val="00AD4CA1"/>
    <w:rsid w:val="00AD4EE3"/>
    <w:rsid w:val="00AD7ABB"/>
    <w:rsid w:val="00AE400B"/>
    <w:rsid w:val="00AE69E3"/>
    <w:rsid w:val="00AF6288"/>
    <w:rsid w:val="00B015DB"/>
    <w:rsid w:val="00B043C8"/>
    <w:rsid w:val="00B05122"/>
    <w:rsid w:val="00B05686"/>
    <w:rsid w:val="00B061E0"/>
    <w:rsid w:val="00B120DE"/>
    <w:rsid w:val="00B13317"/>
    <w:rsid w:val="00B214BE"/>
    <w:rsid w:val="00B27FBA"/>
    <w:rsid w:val="00B34659"/>
    <w:rsid w:val="00B35234"/>
    <w:rsid w:val="00B3649A"/>
    <w:rsid w:val="00B37F7B"/>
    <w:rsid w:val="00B429E2"/>
    <w:rsid w:val="00B43695"/>
    <w:rsid w:val="00B54142"/>
    <w:rsid w:val="00B5547B"/>
    <w:rsid w:val="00B561BB"/>
    <w:rsid w:val="00B564EE"/>
    <w:rsid w:val="00B57562"/>
    <w:rsid w:val="00B61871"/>
    <w:rsid w:val="00B7084E"/>
    <w:rsid w:val="00B7143C"/>
    <w:rsid w:val="00B71822"/>
    <w:rsid w:val="00B71D77"/>
    <w:rsid w:val="00B74649"/>
    <w:rsid w:val="00B77428"/>
    <w:rsid w:val="00B8044B"/>
    <w:rsid w:val="00B8056D"/>
    <w:rsid w:val="00B81A1E"/>
    <w:rsid w:val="00B86F0C"/>
    <w:rsid w:val="00B918EB"/>
    <w:rsid w:val="00BA0FAD"/>
    <w:rsid w:val="00BA1191"/>
    <w:rsid w:val="00BA35AA"/>
    <w:rsid w:val="00BB0577"/>
    <w:rsid w:val="00BB37A8"/>
    <w:rsid w:val="00BB3C4B"/>
    <w:rsid w:val="00BB4AD9"/>
    <w:rsid w:val="00BB58FF"/>
    <w:rsid w:val="00BB5D1C"/>
    <w:rsid w:val="00BB635D"/>
    <w:rsid w:val="00BC7777"/>
    <w:rsid w:val="00BD0DDF"/>
    <w:rsid w:val="00BD4275"/>
    <w:rsid w:val="00BD4BC3"/>
    <w:rsid w:val="00BE07AF"/>
    <w:rsid w:val="00BE324C"/>
    <w:rsid w:val="00BE3ECD"/>
    <w:rsid w:val="00BE545D"/>
    <w:rsid w:val="00BE6978"/>
    <w:rsid w:val="00BF021E"/>
    <w:rsid w:val="00BF276F"/>
    <w:rsid w:val="00BF52B6"/>
    <w:rsid w:val="00C006AC"/>
    <w:rsid w:val="00C028DE"/>
    <w:rsid w:val="00C030C0"/>
    <w:rsid w:val="00C048FE"/>
    <w:rsid w:val="00C12172"/>
    <w:rsid w:val="00C164F1"/>
    <w:rsid w:val="00C2226B"/>
    <w:rsid w:val="00C31615"/>
    <w:rsid w:val="00C3503B"/>
    <w:rsid w:val="00C35E5B"/>
    <w:rsid w:val="00C43CE9"/>
    <w:rsid w:val="00C43D3B"/>
    <w:rsid w:val="00C522A2"/>
    <w:rsid w:val="00C54449"/>
    <w:rsid w:val="00C56D92"/>
    <w:rsid w:val="00C578DE"/>
    <w:rsid w:val="00C60976"/>
    <w:rsid w:val="00C615DE"/>
    <w:rsid w:val="00C62E3B"/>
    <w:rsid w:val="00C630EB"/>
    <w:rsid w:val="00C7178B"/>
    <w:rsid w:val="00C74969"/>
    <w:rsid w:val="00C75AA6"/>
    <w:rsid w:val="00C764A1"/>
    <w:rsid w:val="00C770CD"/>
    <w:rsid w:val="00C83D5D"/>
    <w:rsid w:val="00C95892"/>
    <w:rsid w:val="00C97860"/>
    <w:rsid w:val="00CA480E"/>
    <w:rsid w:val="00CB67FD"/>
    <w:rsid w:val="00CC32F1"/>
    <w:rsid w:val="00CC4B15"/>
    <w:rsid w:val="00CD5908"/>
    <w:rsid w:val="00CE3265"/>
    <w:rsid w:val="00CF2090"/>
    <w:rsid w:val="00CF374F"/>
    <w:rsid w:val="00CF7653"/>
    <w:rsid w:val="00D01397"/>
    <w:rsid w:val="00D11F61"/>
    <w:rsid w:val="00D24FFC"/>
    <w:rsid w:val="00D269D0"/>
    <w:rsid w:val="00D27C4F"/>
    <w:rsid w:val="00D360AC"/>
    <w:rsid w:val="00D363FA"/>
    <w:rsid w:val="00D46B12"/>
    <w:rsid w:val="00D47182"/>
    <w:rsid w:val="00D47893"/>
    <w:rsid w:val="00D51A84"/>
    <w:rsid w:val="00D52DF8"/>
    <w:rsid w:val="00D54C33"/>
    <w:rsid w:val="00D55A12"/>
    <w:rsid w:val="00D56606"/>
    <w:rsid w:val="00D6050C"/>
    <w:rsid w:val="00D63940"/>
    <w:rsid w:val="00D63A0B"/>
    <w:rsid w:val="00D65997"/>
    <w:rsid w:val="00D661F4"/>
    <w:rsid w:val="00D66D1E"/>
    <w:rsid w:val="00D724B1"/>
    <w:rsid w:val="00D7267F"/>
    <w:rsid w:val="00D72E8F"/>
    <w:rsid w:val="00D73892"/>
    <w:rsid w:val="00D8308C"/>
    <w:rsid w:val="00D84BE8"/>
    <w:rsid w:val="00D84E1F"/>
    <w:rsid w:val="00D85957"/>
    <w:rsid w:val="00D8605B"/>
    <w:rsid w:val="00D8668B"/>
    <w:rsid w:val="00D926E5"/>
    <w:rsid w:val="00D9287E"/>
    <w:rsid w:val="00D92F5A"/>
    <w:rsid w:val="00D93F0D"/>
    <w:rsid w:val="00D94FC0"/>
    <w:rsid w:val="00D9766D"/>
    <w:rsid w:val="00DB0F69"/>
    <w:rsid w:val="00DB308D"/>
    <w:rsid w:val="00DB5C7D"/>
    <w:rsid w:val="00DB5D63"/>
    <w:rsid w:val="00DB6115"/>
    <w:rsid w:val="00DB7CE7"/>
    <w:rsid w:val="00DC246E"/>
    <w:rsid w:val="00DC3321"/>
    <w:rsid w:val="00DC36FC"/>
    <w:rsid w:val="00DC64BA"/>
    <w:rsid w:val="00DD046F"/>
    <w:rsid w:val="00DD6110"/>
    <w:rsid w:val="00DE17D3"/>
    <w:rsid w:val="00DE23A4"/>
    <w:rsid w:val="00DE2E53"/>
    <w:rsid w:val="00DE4AB6"/>
    <w:rsid w:val="00DE540B"/>
    <w:rsid w:val="00DF03A3"/>
    <w:rsid w:val="00DF2A6E"/>
    <w:rsid w:val="00E005B1"/>
    <w:rsid w:val="00E11868"/>
    <w:rsid w:val="00E13C47"/>
    <w:rsid w:val="00E13C67"/>
    <w:rsid w:val="00E13DB4"/>
    <w:rsid w:val="00E15711"/>
    <w:rsid w:val="00E16D51"/>
    <w:rsid w:val="00E2147D"/>
    <w:rsid w:val="00E21523"/>
    <w:rsid w:val="00E21F12"/>
    <w:rsid w:val="00E22804"/>
    <w:rsid w:val="00E25BE2"/>
    <w:rsid w:val="00E26172"/>
    <w:rsid w:val="00E330E4"/>
    <w:rsid w:val="00E35FA1"/>
    <w:rsid w:val="00E40F18"/>
    <w:rsid w:val="00E415CF"/>
    <w:rsid w:val="00E428BC"/>
    <w:rsid w:val="00E44B69"/>
    <w:rsid w:val="00E465A5"/>
    <w:rsid w:val="00E50ED3"/>
    <w:rsid w:val="00E52B0B"/>
    <w:rsid w:val="00E54F84"/>
    <w:rsid w:val="00E5633B"/>
    <w:rsid w:val="00E65F47"/>
    <w:rsid w:val="00E73F5D"/>
    <w:rsid w:val="00E74726"/>
    <w:rsid w:val="00E76380"/>
    <w:rsid w:val="00E80CB0"/>
    <w:rsid w:val="00E80E3B"/>
    <w:rsid w:val="00E83012"/>
    <w:rsid w:val="00E94E13"/>
    <w:rsid w:val="00E95E44"/>
    <w:rsid w:val="00E9742C"/>
    <w:rsid w:val="00EA02C4"/>
    <w:rsid w:val="00EA151E"/>
    <w:rsid w:val="00EA5CF1"/>
    <w:rsid w:val="00EB1387"/>
    <w:rsid w:val="00EB6A7A"/>
    <w:rsid w:val="00EB6B38"/>
    <w:rsid w:val="00EB6FE0"/>
    <w:rsid w:val="00EB77F9"/>
    <w:rsid w:val="00EC1838"/>
    <w:rsid w:val="00EC6E98"/>
    <w:rsid w:val="00ED3A25"/>
    <w:rsid w:val="00ED593A"/>
    <w:rsid w:val="00ED758C"/>
    <w:rsid w:val="00ED7FFC"/>
    <w:rsid w:val="00EE734B"/>
    <w:rsid w:val="00EE7382"/>
    <w:rsid w:val="00EF1285"/>
    <w:rsid w:val="00EF456A"/>
    <w:rsid w:val="00EF6024"/>
    <w:rsid w:val="00EF6BCC"/>
    <w:rsid w:val="00F00FE7"/>
    <w:rsid w:val="00F07B30"/>
    <w:rsid w:val="00F10D71"/>
    <w:rsid w:val="00F141C0"/>
    <w:rsid w:val="00F176C4"/>
    <w:rsid w:val="00F2052A"/>
    <w:rsid w:val="00F20AD8"/>
    <w:rsid w:val="00F22656"/>
    <w:rsid w:val="00F25D27"/>
    <w:rsid w:val="00F25ECE"/>
    <w:rsid w:val="00F31E7D"/>
    <w:rsid w:val="00F325F0"/>
    <w:rsid w:val="00F34BAD"/>
    <w:rsid w:val="00F40DD5"/>
    <w:rsid w:val="00F42CD8"/>
    <w:rsid w:val="00F438EE"/>
    <w:rsid w:val="00F449F0"/>
    <w:rsid w:val="00F4757D"/>
    <w:rsid w:val="00F47916"/>
    <w:rsid w:val="00F5185F"/>
    <w:rsid w:val="00F565F5"/>
    <w:rsid w:val="00F57499"/>
    <w:rsid w:val="00F60D50"/>
    <w:rsid w:val="00F760BE"/>
    <w:rsid w:val="00F7789E"/>
    <w:rsid w:val="00F801FE"/>
    <w:rsid w:val="00F80BBC"/>
    <w:rsid w:val="00F82084"/>
    <w:rsid w:val="00F828E6"/>
    <w:rsid w:val="00F8368D"/>
    <w:rsid w:val="00F8454D"/>
    <w:rsid w:val="00F948B6"/>
    <w:rsid w:val="00F9719D"/>
    <w:rsid w:val="00FA0938"/>
    <w:rsid w:val="00FA51DF"/>
    <w:rsid w:val="00FA5F81"/>
    <w:rsid w:val="00FA721B"/>
    <w:rsid w:val="00FB1EBE"/>
    <w:rsid w:val="00FC34C3"/>
    <w:rsid w:val="00FC7499"/>
    <w:rsid w:val="00FD11F3"/>
    <w:rsid w:val="00FD1335"/>
    <w:rsid w:val="00FD5A72"/>
    <w:rsid w:val="00FE0DD2"/>
    <w:rsid w:val="00FE3B56"/>
    <w:rsid w:val="00FF0547"/>
    <w:rsid w:val="00FF0A48"/>
    <w:rsid w:val="00FF1BE6"/>
    <w:rsid w:val="00FF2199"/>
    <w:rsid w:val="00FF2F6F"/>
    <w:rsid w:val="00FF694E"/>
    <w:rsid w:val="354CC502"/>
    <w:rsid w:val="3B8D48C0"/>
    <w:rsid w:val="3F288DA3"/>
    <w:rsid w:val="535E0E25"/>
    <w:rsid w:val="7E0E6346"/>
    <w:rsid w:val="7E10F2F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F40"/>
  <w15:chartTrackingRefBased/>
  <w15:docId w15:val="{60965D92-ACC6-4B6B-9272-751901C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ind w:left="56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49"/>
    <w:pPr>
      <w:spacing w:after="160" w:line="256" w:lineRule="auto"/>
      <w:ind w:left="0"/>
    </w:pPr>
    <w:rPr>
      <w:lang w:val="en-US"/>
    </w:rPr>
  </w:style>
  <w:style w:type="paragraph" w:styleId="Heading2">
    <w:name w:val="heading 2"/>
    <w:basedOn w:val="H2"/>
    <w:next w:val="Normal"/>
    <w:link w:val="Heading2Char"/>
    <w:uiPriority w:val="9"/>
    <w:unhideWhenUsed/>
    <w:qFormat/>
    <w:rsid w:val="00E35FA1"/>
    <w:pPr>
      <w:spacing w:after="200"/>
      <w:outlineLvl w:val="1"/>
    </w:pPr>
    <w:rPr>
      <w:b w:val="0"/>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66D"/>
    <w:pPr>
      <w:ind w:left="720"/>
      <w:contextualSpacing/>
    </w:pPr>
  </w:style>
  <w:style w:type="character" w:styleId="Hyperlink">
    <w:name w:val="Hyperlink"/>
    <w:basedOn w:val="DefaultParagraphFont"/>
    <w:uiPriority w:val="99"/>
    <w:unhideWhenUsed/>
    <w:rsid w:val="00953F1B"/>
    <w:rPr>
      <w:color w:val="0563C1" w:themeColor="hyperlink"/>
      <w:u w:val="single"/>
    </w:rPr>
  </w:style>
  <w:style w:type="paragraph" w:styleId="EndnoteText">
    <w:name w:val="endnote text"/>
    <w:basedOn w:val="Normal"/>
    <w:link w:val="EndnoteTextChar"/>
    <w:uiPriority w:val="99"/>
    <w:unhideWhenUsed/>
    <w:rsid w:val="0086653F"/>
    <w:rPr>
      <w:szCs w:val="20"/>
    </w:rPr>
  </w:style>
  <w:style w:type="character" w:customStyle="1" w:styleId="EndnoteTextChar">
    <w:name w:val="Endnote Text Char"/>
    <w:basedOn w:val="DefaultParagraphFont"/>
    <w:link w:val="EndnoteText"/>
    <w:uiPriority w:val="99"/>
    <w:rsid w:val="0086653F"/>
    <w:rPr>
      <w:rFonts w:ascii="Lato" w:hAnsi="Lato"/>
      <w:sz w:val="16"/>
      <w:szCs w:val="20"/>
      <w:lang w:val="en-US"/>
    </w:rPr>
  </w:style>
  <w:style w:type="character" w:styleId="EndnoteReference">
    <w:name w:val="endnote reference"/>
    <w:basedOn w:val="DefaultParagraphFont"/>
    <w:uiPriority w:val="99"/>
    <w:semiHidden/>
    <w:unhideWhenUsed/>
    <w:rsid w:val="00953F1B"/>
    <w:rPr>
      <w:vertAlign w:val="superscript"/>
    </w:rPr>
  </w:style>
  <w:style w:type="table" w:styleId="TableGrid">
    <w:name w:val="Table Grid"/>
    <w:basedOn w:val="TableNormal"/>
    <w:uiPriority w:val="59"/>
    <w:rsid w:val="000F0136"/>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5122"/>
    <w:rPr>
      <w:color w:val="605E5C"/>
      <w:shd w:val="clear" w:color="auto" w:fill="E1DFDD"/>
    </w:rPr>
  </w:style>
  <w:style w:type="character" w:styleId="FollowedHyperlink">
    <w:name w:val="FollowedHyperlink"/>
    <w:basedOn w:val="DefaultParagraphFont"/>
    <w:uiPriority w:val="99"/>
    <w:semiHidden/>
    <w:unhideWhenUsed/>
    <w:rsid w:val="00EF456A"/>
    <w:rPr>
      <w:color w:val="954F72" w:themeColor="followedHyperlink"/>
      <w:u w:val="single"/>
    </w:rPr>
  </w:style>
  <w:style w:type="character" w:styleId="CommentReference">
    <w:name w:val="annotation reference"/>
    <w:basedOn w:val="DefaultParagraphFont"/>
    <w:uiPriority w:val="99"/>
    <w:semiHidden/>
    <w:unhideWhenUsed/>
    <w:rsid w:val="004D432E"/>
    <w:rPr>
      <w:sz w:val="16"/>
      <w:szCs w:val="16"/>
    </w:rPr>
  </w:style>
  <w:style w:type="paragraph" w:styleId="CommentText">
    <w:name w:val="annotation text"/>
    <w:basedOn w:val="Normal"/>
    <w:link w:val="CommentTextChar"/>
    <w:uiPriority w:val="99"/>
    <w:unhideWhenUsed/>
    <w:rsid w:val="004D432E"/>
    <w:rPr>
      <w:sz w:val="20"/>
      <w:szCs w:val="20"/>
    </w:rPr>
  </w:style>
  <w:style w:type="character" w:customStyle="1" w:styleId="CommentTextChar">
    <w:name w:val="Comment Text Char"/>
    <w:basedOn w:val="DefaultParagraphFont"/>
    <w:link w:val="CommentText"/>
    <w:uiPriority w:val="99"/>
    <w:rsid w:val="004D432E"/>
    <w:rPr>
      <w:sz w:val="20"/>
      <w:szCs w:val="20"/>
    </w:rPr>
  </w:style>
  <w:style w:type="paragraph" w:styleId="CommentSubject">
    <w:name w:val="annotation subject"/>
    <w:basedOn w:val="CommentText"/>
    <w:next w:val="CommentText"/>
    <w:link w:val="CommentSubjectChar"/>
    <w:uiPriority w:val="99"/>
    <w:semiHidden/>
    <w:unhideWhenUsed/>
    <w:rsid w:val="004D432E"/>
    <w:rPr>
      <w:b/>
      <w:bCs/>
    </w:rPr>
  </w:style>
  <w:style w:type="character" w:customStyle="1" w:styleId="CommentSubjectChar">
    <w:name w:val="Comment Subject Char"/>
    <w:basedOn w:val="CommentTextChar"/>
    <w:link w:val="CommentSubject"/>
    <w:uiPriority w:val="99"/>
    <w:semiHidden/>
    <w:rsid w:val="004D432E"/>
    <w:rPr>
      <w:b/>
      <w:bCs/>
      <w:sz w:val="20"/>
      <w:szCs w:val="20"/>
    </w:rPr>
  </w:style>
  <w:style w:type="paragraph" w:styleId="Revision">
    <w:name w:val="Revision"/>
    <w:hidden/>
    <w:uiPriority w:val="99"/>
    <w:semiHidden/>
    <w:rsid w:val="006337F2"/>
    <w:pPr>
      <w:ind w:left="0"/>
    </w:pPr>
  </w:style>
  <w:style w:type="character" w:styleId="PlaceholderText">
    <w:name w:val="Placeholder Text"/>
    <w:basedOn w:val="DefaultParagraphFont"/>
    <w:uiPriority w:val="99"/>
    <w:semiHidden/>
    <w:rsid w:val="000F018E"/>
    <w:rPr>
      <w:color w:val="808080"/>
    </w:rPr>
  </w:style>
  <w:style w:type="paragraph" w:styleId="NoSpacing">
    <w:name w:val="No Spacing"/>
    <w:link w:val="NoSpacingChar"/>
    <w:uiPriority w:val="1"/>
    <w:qFormat/>
    <w:rsid w:val="00BE3ECD"/>
    <w:pPr>
      <w:ind w:left="0"/>
    </w:pPr>
    <w:rPr>
      <w:rFonts w:ascii="Lato" w:hAnsi="Lato" w:cstheme="minorHAnsi"/>
      <w:sz w:val="16"/>
      <w:szCs w:val="16"/>
      <w:lang w:val="en-US"/>
    </w:rPr>
  </w:style>
  <w:style w:type="paragraph" w:styleId="Header">
    <w:name w:val="header"/>
    <w:basedOn w:val="Normal"/>
    <w:link w:val="HeaderChar"/>
    <w:uiPriority w:val="99"/>
    <w:unhideWhenUsed/>
    <w:rsid w:val="00080F4A"/>
    <w:pPr>
      <w:tabs>
        <w:tab w:val="center" w:pos="4680"/>
        <w:tab w:val="right" w:pos="9360"/>
      </w:tabs>
    </w:pPr>
  </w:style>
  <w:style w:type="character" w:customStyle="1" w:styleId="HeaderChar">
    <w:name w:val="Header Char"/>
    <w:basedOn w:val="DefaultParagraphFont"/>
    <w:link w:val="Header"/>
    <w:uiPriority w:val="99"/>
    <w:rsid w:val="00080F4A"/>
  </w:style>
  <w:style w:type="paragraph" w:styleId="Footer">
    <w:name w:val="footer"/>
    <w:basedOn w:val="Normal"/>
    <w:link w:val="FooterChar"/>
    <w:uiPriority w:val="99"/>
    <w:unhideWhenUsed/>
    <w:rsid w:val="00383F6F"/>
    <w:pPr>
      <w:tabs>
        <w:tab w:val="center" w:pos="4680"/>
        <w:tab w:val="right" w:pos="9360"/>
      </w:tabs>
    </w:pPr>
  </w:style>
  <w:style w:type="character" w:customStyle="1" w:styleId="FooterChar">
    <w:name w:val="Footer Char"/>
    <w:basedOn w:val="DefaultParagraphFont"/>
    <w:link w:val="Footer"/>
    <w:uiPriority w:val="99"/>
    <w:rsid w:val="00383F6F"/>
  </w:style>
  <w:style w:type="character" w:customStyle="1" w:styleId="NoSpacingChar">
    <w:name w:val="No Spacing Char"/>
    <w:basedOn w:val="DefaultParagraphFont"/>
    <w:link w:val="NoSpacing"/>
    <w:uiPriority w:val="1"/>
    <w:rsid w:val="00BE3ECD"/>
    <w:rPr>
      <w:rFonts w:ascii="Lato" w:hAnsi="Lato" w:cstheme="minorHAnsi"/>
      <w:sz w:val="16"/>
      <w:szCs w:val="16"/>
      <w:lang w:val="en-US"/>
    </w:rPr>
  </w:style>
  <w:style w:type="paragraph" w:styleId="Title">
    <w:name w:val="Title"/>
    <w:basedOn w:val="Normal"/>
    <w:next w:val="Normal"/>
    <w:link w:val="TitleChar"/>
    <w:uiPriority w:val="10"/>
    <w:qFormat/>
    <w:rsid w:val="00C95892"/>
    <w:pPr>
      <w:spacing w:line="276" w:lineRule="auto"/>
    </w:pPr>
    <w:rPr>
      <w:rFonts w:ascii="Lato Black" w:eastAsiaTheme="majorEastAsia" w:hAnsi="Lato Black" w:cstheme="majorBidi"/>
      <w:color w:val="8BAE3D"/>
      <w:spacing w:val="10"/>
      <w:sz w:val="48"/>
      <w:szCs w:val="48"/>
    </w:rPr>
  </w:style>
  <w:style w:type="character" w:customStyle="1" w:styleId="TitleChar">
    <w:name w:val="Title Char"/>
    <w:basedOn w:val="DefaultParagraphFont"/>
    <w:link w:val="Title"/>
    <w:uiPriority w:val="10"/>
    <w:rsid w:val="00C95892"/>
    <w:rPr>
      <w:rFonts w:ascii="Lato Black" w:eastAsiaTheme="majorEastAsia" w:hAnsi="Lato Black" w:cstheme="majorBidi"/>
      <w:color w:val="8BAE3D"/>
      <w:spacing w:val="10"/>
      <w:sz w:val="48"/>
      <w:szCs w:val="48"/>
      <w:lang w:val="en-US"/>
    </w:rPr>
  </w:style>
  <w:style w:type="table" w:styleId="PlainTable3">
    <w:name w:val="Plain Table 3"/>
    <w:basedOn w:val="TableNormal"/>
    <w:uiPriority w:val="43"/>
    <w:rsid w:val="00DD04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882BBA"/>
    <w:rPr>
      <w:sz w:val="20"/>
      <w:szCs w:val="20"/>
    </w:rPr>
  </w:style>
  <w:style w:type="character" w:customStyle="1" w:styleId="FootnoteTextChar">
    <w:name w:val="Footnote Text Char"/>
    <w:basedOn w:val="DefaultParagraphFont"/>
    <w:link w:val="FootnoteText"/>
    <w:uiPriority w:val="99"/>
    <w:semiHidden/>
    <w:rsid w:val="00882BBA"/>
    <w:rPr>
      <w:sz w:val="20"/>
      <w:szCs w:val="20"/>
    </w:rPr>
  </w:style>
  <w:style w:type="character" w:styleId="FootnoteReference">
    <w:name w:val="footnote reference"/>
    <w:basedOn w:val="DefaultParagraphFont"/>
    <w:uiPriority w:val="99"/>
    <w:semiHidden/>
    <w:unhideWhenUsed/>
    <w:rsid w:val="00882BBA"/>
    <w:rPr>
      <w:vertAlign w:val="superscript"/>
    </w:rPr>
  </w:style>
  <w:style w:type="paragraph" w:customStyle="1" w:styleId="H2">
    <w:name w:val="H2"/>
    <w:basedOn w:val="NoSpacing"/>
    <w:qFormat/>
    <w:rsid w:val="002D5317"/>
    <w:pPr>
      <w:spacing w:before="240" w:after="160"/>
    </w:pPr>
    <w:rPr>
      <w:rFonts w:ascii="Lato Black" w:hAnsi="Lato Black"/>
      <w:b/>
      <w:bCs/>
      <w:sz w:val="22"/>
      <w:szCs w:val="22"/>
    </w:rPr>
  </w:style>
  <w:style w:type="paragraph" w:customStyle="1" w:styleId="H3">
    <w:name w:val="H3"/>
    <w:basedOn w:val="NoSpacing"/>
    <w:qFormat/>
    <w:rsid w:val="005917C2"/>
    <w:rPr>
      <w:rFonts w:ascii="Lato Black" w:hAnsi="Lato Black"/>
      <w:b/>
      <w:bCs/>
      <w:sz w:val="20"/>
      <w:szCs w:val="20"/>
    </w:rPr>
  </w:style>
  <w:style w:type="paragraph" w:customStyle="1" w:styleId="StepDescription">
    <w:name w:val="Step Description"/>
    <w:basedOn w:val="Normal"/>
    <w:qFormat/>
    <w:rsid w:val="00F60D50"/>
    <w:pPr>
      <w:spacing w:after="120"/>
    </w:pPr>
  </w:style>
  <w:style w:type="paragraph" w:customStyle="1" w:styleId="TableHeaders">
    <w:name w:val="Table Headers"/>
    <w:basedOn w:val="NoSpacing"/>
    <w:qFormat/>
    <w:rsid w:val="00314E04"/>
    <w:rPr>
      <w:rFonts w:ascii="Arial Narrow" w:hAnsi="Arial Narrow"/>
      <w:b/>
      <w:bCs/>
      <w:sz w:val="14"/>
      <w:szCs w:val="14"/>
    </w:rPr>
  </w:style>
  <w:style w:type="character" w:customStyle="1" w:styleId="H2-Subheading">
    <w:name w:val="H2 - Subheading"/>
    <w:basedOn w:val="DefaultParagraphFont"/>
    <w:uiPriority w:val="1"/>
    <w:qFormat/>
    <w:rsid w:val="00D93F0D"/>
    <w:rPr>
      <w:rFonts w:ascii="Lato" w:hAnsi="Lato"/>
    </w:rPr>
  </w:style>
  <w:style w:type="character" w:customStyle="1" w:styleId="Heading2Char">
    <w:name w:val="Heading 2 Char"/>
    <w:basedOn w:val="DefaultParagraphFont"/>
    <w:link w:val="Heading2"/>
    <w:uiPriority w:val="9"/>
    <w:rsid w:val="00E35FA1"/>
    <w:rPr>
      <w:rFonts w:ascii="Lato Black" w:hAnsi="Lato Black" w:cstheme="minorHAnsi"/>
      <w:sz w:val="24"/>
      <w:szCs w:val="24"/>
      <w:lang w:val="en-US"/>
    </w:rPr>
  </w:style>
  <w:style w:type="paragraph" w:customStyle="1" w:styleId="Endnote-H5">
    <w:name w:val="Endnote - H5"/>
    <w:basedOn w:val="EndnoteText"/>
    <w:link w:val="Endnote-H5Char"/>
    <w:qFormat/>
    <w:rsid w:val="00432CA4"/>
    <w:pPr>
      <w:spacing w:before="120" w:line="160" w:lineRule="exact"/>
      <w:ind w:firstLine="86"/>
    </w:pPr>
    <w:rPr>
      <w:b/>
      <w:bCs/>
      <w:caps/>
      <w:lang w:val="en-CA"/>
    </w:rPr>
  </w:style>
  <w:style w:type="paragraph" w:customStyle="1" w:styleId="Endnote-Context">
    <w:name w:val="Endnote - Context"/>
    <w:basedOn w:val="EndnoteText"/>
    <w:qFormat/>
    <w:rsid w:val="00A05F23"/>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before="40" w:after="40"/>
      <w:ind w:left="270"/>
    </w:pPr>
  </w:style>
  <w:style w:type="character" w:customStyle="1" w:styleId="Endnote-H5Char">
    <w:name w:val="Endnote - H5 Char"/>
    <w:basedOn w:val="EndnoteTextChar"/>
    <w:link w:val="Endnote-H5"/>
    <w:rsid w:val="00A14424"/>
    <w:rPr>
      <w:rFonts w:ascii="Lato" w:hAnsi="Lato"/>
      <w:b/>
      <w:bCs/>
      <w:caps/>
      <w:sz w:val="16"/>
      <w:szCs w:val="20"/>
      <w:lang w:val="en-US"/>
    </w:rPr>
  </w:style>
  <w:style w:type="paragraph" w:customStyle="1" w:styleId="Endnote-Bullet-L1">
    <w:name w:val="Endnote - Bullet - L1"/>
    <w:basedOn w:val="EndnoteText"/>
    <w:qFormat/>
    <w:rsid w:val="00B120DE"/>
    <w:pPr>
      <w:numPr>
        <w:numId w:val="29"/>
      </w:numPr>
      <w:ind w:left="360" w:hanging="180"/>
    </w:pPr>
  </w:style>
  <w:style w:type="paragraph" w:customStyle="1" w:styleId="Endnote-H4">
    <w:name w:val="Endnote - H4"/>
    <w:basedOn w:val="EndnoteText"/>
    <w:qFormat/>
    <w:rsid w:val="0032022D"/>
    <w:pPr>
      <w:spacing w:before="80"/>
      <w:ind w:left="86" w:hanging="86"/>
    </w:pPr>
    <w:rPr>
      <w:rFonts w:ascii="Lato Black" w:hAnsi="Lato Black"/>
      <w:b/>
      <w:bCs/>
      <w:sz w:val="17"/>
      <w:szCs w:val="17"/>
    </w:rPr>
  </w:style>
  <w:style w:type="paragraph" w:customStyle="1" w:styleId="Endnote-Link">
    <w:name w:val="Endnote - Link"/>
    <w:basedOn w:val="EndnoteText"/>
    <w:qFormat/>
    <w:rsid w:val="00283E95"/>
    <w:pPr>
      <w:spacing w:before="40"/>
      <w:ind w:left="90"/>
    </w:pPr>
    <w:rPr>
      <w:lang w:val="en-CA"/>
    </w:rPr>
  </w:style>
  <w:style w:type="paragraph" w:customStyle="1" w:styleId="Endnote-Bullet-L2">
    <w:name w:val="Endnote - Bullet - L2"/>
    <w:basedOn w:val="EndnoteText"/>
    <w:qFormat/>
    <w:rsid w:val="007D73B0"/>
    <w:pPr>
      <w:numPr>
        <w:numId w:val="20"/>
      </w:numPr>
      <w:ind w:left="540" w:hanging="180"/>
    </w:pPr>
  </w:style>
  <w:style w:type="paragraph" w:customStyle="1" w:styleId="Endnote-Context-bullet-L1">
    <w:name w:val="Endnote - Context - bullet - L1"/>
    <w:basedOn w:val="Endnote-Context"/>
    <w:next w:val="Endnote-H4"/>
    <w:qFormat/>
    <w:rsid w:val="00960280"/>
  </w:style>
  <w:style w:type="character" w:customStyle="1" w:styleId="Endnote-Superscript">
    <w:name w:val="Endnote - Superscript"/>
    <w:basedOn w:val="EndnoteTextChar"/>
    <w:uiPriority w:val="1"/>
    <w:qFormat/>
    <w:rsid w:val="00EA151E"/>
    <w:rPr>
      <w:rFonts w:ascii="Lato" w:hAnsi="Lato"/>
      <w:sz w:val="16"/>
      <w:szCs w:val="20"/>
      <w:vertAlign w:val="superscript"/>
      <w:lang w:val="en-US"/>
    </w:rPr>
  </w:style>
  <w:style w:type="paragraph" w:customStyle="1" w:styleId="Pa1">
    <w:name w:val="Pa1"/>
    <w:basedOn w:val="Normal"/>
    <w:next w:val="Normal"/>
    <w:uiPriority w:val="99"/>
    <w:rsid w:val="00BB4AD9"/>
    <w:pPr>
      <w:autoSpaceDE w:val="0"/>
      <w:autoSpaceDN w:val="0"/>
      <w:adjustRightInd w:val="0"/>
      <w:spacing w:after="0" w:line="241" w:lineRule="atLeast"/>
    </w:pPr>
    <w:rPr>
      <w:rFonts w:ascii="Lato" w:hAnsi="La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368">
      <w:bodyDiv w:val="1"/>
      <w:marLeft w:val="0"/>
      <w:marRight w:val="0"/>
      <w:marTop w:val="0"/>
      <w:marBottom w:val="0"/>
      <w:divBdr>
        <w:top w:val="none" w:sz="0" w:space="0" w:color="auto"/>
        <w:left w:val="none" w:sz="0" w:space="0" w:color="auto"/>
        <w:bottom w:val="none" w:sz="0" w:space="0" w:color="auto"/>
        <w:right w:val="none" w:sz="0" w:space="0" w:color="auto"/>
      </w:divBdr>
    </w:div>
    <w:div w:id="21906499">
      <w:bodyDiv w:val="1"/>
      <w:marLeft w:val="0"/>
      <w:marRight w:val="0"/>
      <w:marTop w:val="0"/>
      <w:marBottom w:val="0"/>
      <w:divBdr>
        <w:top w:val="none" w:sz="0" w:space="0" w:color="auto"/>
        <w:left w:val="none" w:sz="0" w:space="0" w:color="auto"/>
        <w:bottom w:val="none" w:sz="0" w:space="0" w:color="auto"/>
        <w:right w:val="none" w:sz="0" w:space="0" w:color="auto"/>
      </w:divBdr>
    </w:div>
    <w:div w:id="133377413">
      <w:bodyDiv w:val="1"/>
      <w:marLeft w:val="0"/>
      <w:marRight w:val="0"/>
      <w:marTop w:val="0"/>
      <w:marBottom w:val="0"/>
      <w:divBdr>
        <w:top w:val="none" w:sz="0" w:space="0" w:color="auto"/>
        <w:left w:val="none" w:sz="0" w:space="0" w:color="auto"/>
        <w:bottom w:val="none" w:sz="0" w:space="0" w:color="auto"/>
        <w:right w:val="none" w:sz="0" w:space="0" w:color="auto"/>
      </w:divBdr>
    </w:div>
    <w:div w:id="195429263">
      <w:bodyDiv w:val="1"/>
      <w:marLeft w:val="0"/>
      <w:marRight w:val="0"/>
      <w:marTop w:val="0"/>
      <w:marBottom w:val="0"/>
      <w:divBdr>
        <w:top w:val="none" w:sz="0" w:space="0" w:color="auto"/>
        <w:left w:val="none" w:sz="0" w:space="0" w:color="auto"/>
        <w:bottom w:val="none" w:sz="0" w:space="0" w:color="auto"/>
        <w:right w:val="none" w:sz="0" w:space="0" w:color="auto"/>
      </w:divBdr>
    </w:div>
    <w:div w:id="264847132">
      <w:bodyDiv w:val="1"/>
      <w:marLeft w:val="0"/>
      <w:marRight w:val="0"/>
      <w:marTop w:val="0"/>
      <w:marBottom w:val="0"/>
      <w:divBdr>
        <w:top w:val="none" w:sz="0" w:space="0" w:color="auto"/>
        <w:left w:val="none" w:sz="0" w:space="0" w:color="auto"/>
        <w:bottom w:val="none" w:sz="0" w:space="0" w:color="auto"/>
        <w:right w:val="none" w:sz="0" w:space="0" w:color="auto"/>
      </w:divBdr>
    </w:div>
    <w:div w:id="319238148">
      <w:bodyDiv w:val="1"/>
      <w:marLeft w:val="0"/>
      <w:marRight w:val="0"/>
      <w:marTop w:val="0"/>
      <w:marBottom w:val="0"/>
      <w:divBdr>
        <w:top w:val="none" w:sz="0" w:space="0" w:color="auto"/>
        <w:left w:val="none" w:sz="0" w:space="0" w:color="auto"/>
        <w:bottom w:val="none" w:sz="0" w:space="0" w:color="auto"/>
        <w:right w:val="none" w:sz="0" w:space="0" w:color="auto"/>
      </w:divBdr>
    </w:div>
    <w:div w:id="355886182">
      <w:bodyDiv w:val="1"/>
      <w:marLeft w:val="0"/>
      <w:marRight w:val="0"/>
      <w:marTop w:val="0"/>
      <w:marBottom w:val="0"/>
      <w:divBdr>
        <w:top w:val="none" w:sz="0" w:space="0" w:color="auto"/>
        <w:left w:val="none" w:sz="0" w:space="0" w:color="auto"/>
        <w:bottom w:val="none" w:sz="0" w:space="0" w:color="auto"/>
        <w:right w:val="none" w:sz="0" w:space="0" w:color="auto"/>
      </w:divBdr>
    </w:div>
    <w:div w:id="363482330">
      <w:bodyDiv w:val="1"/>
      <w:marLeft w:val="0"/>
      <w:marRight w:val="0"/>
      <w:marTop w:val="0"/>
      <w:marBottom w:val="0"/>
      <w:divBdr>
        <w:top w:val="none" w:sz="0" w:space="0" w:color="auto"/>
        <w:left w:val="none" w:sz="0" w:space="0" w:color="auto"/>
        <w:bottom w:val="none" w:sz="0" w:space="0" w:color="auto"/>
        <w:right w:val="none" w:sz="0" w:space="0" w:color="auto"/>
      </w:divBdr>
    </w:div>
    <w:div w:id="523637463">
      <w:bodyDiv w:val="1"/>
      <w:marLeft w:val="0"/>
      <w:marRight w:val="0"/>
      <w:marTop w:val="0"/>
      <w:marBottom w:val="0"/>
      <w:divBdr>
        <w:top w:val="none" w:sz="0" w:space="0" w:color="auto"/>
        <w:left w:val="none" w:sz="0" w:space="0" w:color="auto"/>
        <w:bottom w:val="none" w:sz="0" w:space="0" w:color="auto"/>
        <w:right w:val="none" w:sz="0" w:space="0" w:color="auto"/>
      </w:divBdr>
    </w:div>
    <w:div w:id="539897351">
      <w:bodyDiv w:val="1"/>
      <w:marLeft w:val="0"/>
      <w:marRight w:val="0"/>
      <w:marTop w:val="0"/>
      <w:marBottom w:val="0"/>
      <w:divBdr>
        <w:top w:val="none" w:sz="0" w:space="0" w:color="auto"/>
        <w:left w:val="none" w:sz="0" w:space="0" w:color="auto"/>
        <w:bottom w:val="none" w:sz="0" w:space="0" w:color="auto"/>
        <w:right w:val="none" w:sz="0" w:space="0" w:color="auto"/>
      </w:divBdr>
    </w:div>
    <w:div w:id="608858382">
      <w:bodyDiv w:val="1"/>
      <w:marLeft w:val="0"/>
      <w:marRight w:val="0"/>
      <w:marTop w:val="0"/>
      <w:marBottom w:val="0"/>
      <w:divBdr>
        <w:top w:val="none" w:sz="0" w:space="0" w:color="auto"/>
        <w:left w:val="none" w:sz="0" w:space="0" w:color="auto"/>
        <w:bottom w:val="none" w:sz="0" w:space="0" w:color="auto"/>
        <w:right w:val="none" w:sz="0" w:space="0" w:color="auto"/>
      </w:divBdr>
    </w:div>
    <w:div w:id="666981233">
      <w:bodyDiv w:val="1"/>
      <w:marLeft w:val="0"/>
      <w:marRight w:val="0"/>
      <w:marTop w:val="0"/>
      <w:marBottom w:val="0"/>
      <w:divBdr>
        <w:top w:val="none" w:sz="0" w:space="0" w:color="auto"/>
        <w:left w:val="none" w:sz="0" w:space="0" w:color="auto"/>
        <w:bottom w:val="none" w:sz="0" w:space="0" w:color="auto"/>
        <w:right w:val="none" w:sz="0" w:space="0" w:color="auto"/>
      </w:divBdr>
    </w:div>
    <w:div w:id="680281023">
      <w:bodyDiv w:val="1"/>
      <w:marLeft w:val="0"/>
      <w:marRight w:val="0"/>
      <w:marTop w:val="0"/>
      <w:marBottom w:val="0"/>
      <w:divBdr>
        <w:top w:val="none" w:sz="0" w:space="0" w:color="auto"/>
        <w:left w:val="none" w:sz="0" w:space="0" w:color="auto"/>
        <w:bottom w:val="none" w:sz="0" w:space="0" w:color="auto"/>
        <w:right w:val="none" w:sz="0" w:space="0" w:color="auto"/>
      </w:divBdr>
    </w:div>
    <w:div w:id="704713178">
      <w:bodyDiv w:val="1"/>
      <w:marLeft w:val="0"/>
      <w:marRight w:val="0"/>
      <w:marTop w:val="0"/>
      <w:marBottom w:val="0"/>
      <w:divBdr>
        <w:top w:val="none" w:sz="0" w:space="0" w:color="auto"/>
        <w:left w:val="none" w:sz="0" w:space="0" w:color="auto"/>
        <w:bottom w:val="none" w:sz="0" w:space="0" w:color="auto"/>
        <w:right w:val="none" w:sz="0" w:space="0" w:color="auto"/>
      </w:divBdr>
    </w:div>
    <w:div w:id="767653425">
      <w:bodyDiv w:val="1"/>
      <w:marLeft w:val="0"/>
      <w:marRight w:val="0"/>
      <w:marTop w:val="0"/>
      <w:marBottom w:val="0"/>
      <w:divBdr>
        <w:top w:val="none" w:sz="0" w:space="0" w:color="auto"/>
        <w:left w:val="none" w:sz="0" w:space="0" w:color="auto"/>
        <w:bottom w:val="none" w:sz="0" w:space="0" w:color="auto"/>
        <w:right w:val="none" w:sz="0" w:space="0" w:color="auto"/>
      </w:divBdr>
    </w:div>
    <w:div w:id="818419315">
      <w:bodyDiv w:val="1"/>
      <w:marLeft w:val="0"/>
      <w:marRight w:val="0"/>
      <w:marTop w:val="0"/>
      <w:marBottom w:val="0"/>
      <w:divBdr>
        <w:top w:val="none" w:sz="0" w:space="0" w:color="auto"/>
        <w:left w:val="none" w:sz="0" w:space="0" w:color="auto"/>
        <w:bottom w:val="none" w:sz="0" w:space="0" w:color="auto"/>
        <w:right w:val="none" w:sz="0" w:space="0" w:color="auto"/>
      </w:divBdr>
    </w:div>
    <w:div w:id="908274606">
      <w:bodyDiv w:val="1"/>
      <w:marLeft w:val="0"/>
      <w:marRight w:val="0"/>
      <w:marTop w:val="0"/>
      <w:marBottom w:val="0"/>
      <w:divBdr>
        <w:top w:val="none" w:sz="0" w:space="0" w:color="auto"/>
        <w:left w:val="none" w:sz="0" w:space="0" w:color="auto"/>
        <w:bottom w:val="none" w:sz="0" w:space="0" w:color="auto"/>
        <w:right w:val="none" w:sz="0" w:space="0" w:color="auto"/>
      </w:divBdr>
    </w:div>
    <w:div w:id="924150178">
      <w:bodyDiv w:val="1"/>
      <w:marLeft w:val="0"/>
      <w:marRight w:val="0"/>
      <w:marTop w:val="0"/>
      <w:marBottom w:val="0"/>
      <w:divBdr>
        <w:top w:val="none" w:sz="0" w:space="0" w:color="auto"/>
        <w:left w:val="none" w:sz="0" w:space="0" w:color="auto"/>
        <w:bottom w:val="none" w:sz="0" w:space="0" w:color="auto"/>
        <w:right w:val="none" w:sz="0" w:space="0" w:color="auto"/>
      </w:divBdr>
    </w:div>
    <w:div w:id="1185362774">
      <w:bodyDiv w:val="1"/>
      <w:marLeft w:val="0"/>
      <w:marRight w:val="0"/>
      <w:marTop w:val="0"/>
      <w:marBottom w:val="0"/>
      <w:divBdr>
        <w:top w:val="none" w:sz="0" w:space="0" w:color="auto"/>
        <w:left w:val="none" w:sz="0" w:space="0" w:color="auto"/>
        <w:bottom w:val="none" w:sz="0" w:space="0" w:color="auto"/>
        <w:right w:val="none" w:sz="0" w:space="0" w:color="auto"/>
      </w:divBdr>
    </w:div>
    <w:div w:id="1213812873">
      <w:bodyDiv w:val="1"/>
      <w:marLeft w:val="0"/>
      <w:marRight w:val="0"/>
      <w:marTop w:val="0"/>
      <w:marBottom w:val="0"/>
      <w:divBdr>
        <w:top w:val="none" w:sz="0" w:space="0" w:color="auto"/>
        <w:left w:val="none" w:sz="0" w:space="0" w:color="auto"/>
        <w:bottom w:val="none" w:sz="0" w:space="0" w:color="auto"/>
        <w:right w:val="none" w:sz="0" w:space="0" w:color="auto"/>
      </w:divBdr>
    </w:div>
    <w:div w:id="1266840795">
      <w:bodyDiv w:val="1"/>
      <w:marLeft w:val="0"/>
      <w:marRight w:val="0"/>
      <w:marTop w:val="0"/>
      <w:marBottom w:val="0"/>
      <w:divBdr>
        <w:top w:val="none" w:sz="0" w:space="0" w:color="auto"/>
        <w:left w:val="none" w:sz="0" w:space="0" w:color="auto"/>
        <w:bottom w:val="none" w:sz="0" w:space="0" w:color="auto"/>
        <w:right w:val="none" w:sz="0" w:space="0" w:color="auto"/>
      </w:divBdr>
    </w:div>
    <w:div w:id="1268153392">
      <w:bodyDiv w:val="1"/>
      <w:marLeft w:val="0"/>
      <w:marRight w:val="0"/>
      <w:marTop w:val="0"/>
      <w:marBottom w:val="0"/>
      <w:divBdr>
        <w:top w:val="none" w:sz="0" w:space="0" w:color="auto"/>
        <w:left w:val="none" w:sz="0" w:space="0" w:color="auto"/>
        <w:bottom w:val="none" w:sz="0" w:space="0" w:color="auto"/>
        <w:right w:val="none" w:sz="0" w:space="0" w:color="auto"/>
      </w:divBdr>
    </w:div>
    <w:div w:id="1307126561">
      <w:bodyDiv w:val="1"/>
      <w:marLeft w:val="0"/>
      <w:marRight w:val="0"/>
      <w:marTop w:val="0"/>
      <w:marBottom w:val="0"/>
      <w:divBdr>
        <w:top w:val="none" w:sz="0" w:space="0" w:color="auto"/>
        <w:left w:val="none" w:sz="0" w:space="0" w:color="auto"/>
        <w:bottom w:val="none" w:sz="0" w:space="0" w:color="auto"/>
        <w:right w:val="none" w:sz="0" w:space="0" w:color="auto"/>
      </w:divBdr>
    </w:div>
    <w:div w:id="1311397738">
      <w:bodyDiv w:val="1"/>
      <w:marLeft w:val="0"/>
      <w:marRight w:val="0"/>
      <w:marTop w:val="0"/>
      <w:marBottom w:val="0"/>
      <w:divBdr>
        <w:top w:val="none" w:sz="0" w:space="0" w:color="auto"/>
        <w:left w:val="none" w:sz="0" w:space="0" w:color="auto"/>
        <w:bottom w:val="none" w:sz="0" w:space="0" w:color="auto"/>
        <w:right w:val="none" w:sz="0" w:space="0" w:color="auto"/>
      </w:divBdr>
    </w:div>
    <w:div w:id="1378622930">
      <w:bodyDiv w:val="1"/>
      <w:marLeft w:val="0"/>
      <w:marRight w:val="0"/>
      <w:marTop w:val="0"/>
      <w:marBottom w:val="0"/>
      <w:divBdr>
        <w:top w:val="none" w:sz="0" w:space="0" w:color="auto"/>
        <w:left w:val="none" w:sz="0" w:space="0" w:color="auto"/>
        <w:bottom w:val="none" w:sz="0" w:space="0" w:color="auto"/>
        <w:right w:val="none" w:sz="0" w:space="0" w:color="auto"/>
      </w:divBdr>
    </w:div>
    <w:div w:id="1407918995">
      <w:bodyDiv w:val="1"/>
      <w:marLeft w:val="0"/>
      <w:marRight w:val="0"/>
      <w:marTop w:val="0"/>
      <w:marBottom w:val="0"/>
      <w:divBdr>
        <w:top w:val="none" w:sz="0" w:space="0" w:color="auto"/>
        <w:left w:val="none" w:sz="0" w:space="0" w:color="auto"/>
        <w:bottom w:val="none" w:sz="0" w:space="0" w:color="auto"/>
        <w:right w:val="none" w:sz="0" w:space="0" w:color="auto"/>
      </w:divBdr>
    </w:div>
    <w:div w:id="1456871032">
      <w:bodyDiv w:val="1"/>
      <w:marLeft w:val="0"/>
      <w:marRight w:val="0"/>
      <w:marTop w:val="0"/>
      <w:marBottom w:val="0"/>
      <w:divBdr>
        <w:top w:val="none" w:sz="0" w:space="0" w:color="auto"/>
        <w:left w:val="none" w:sz="0" w:space="0" w:color="auto"/>
        <w:bottom w:val="none" w:sz="0" w:space="0" w:color="auto"/>
        <w:right w:val="none" w:sz="0" w:space="0" w:color="auto"/>
      </w:divBdr>
    </w:div>
    <w:div w:id="1643775937">
      <w:bodyDiv w:val="1"/>
      <w:marLeft w:val="0"/>
      <w:marRight w:val="0"/>
      <w:marTop w:val="0"/>
      <w:marBottom w:val="0"/>
      <w:divBdr>
        <w:top w:val="none" w:sz="0" w:space="0" w:color="auto"/>
        <w:left w:val="none" w:sz="0" w:space="0" w:color="auto"/>
        <w:bottom w:val="none" w:sz="0" w:space="0" w:color="auto"/>
        <w:right w:val="none" w:sz="0" w:space="0" w:color="auto"/>
      </w:divBdr>
    </w:div>
    <w:div w:id="1684551877">
      <w:bodyDiv w:val="1"/>
      <w:marLeft w:val="0"/>
      <w:marRight w:val="0"/>
      <w:marTop w:val="0"/>
      <w:marBottom w:val="0"/>
      <w:divBdr>
        <w:top w:val="none" w:sz="0" w:space="0" w:color="auto"/>
        <w:left w:val="none" w:sz="0" w:space="0" w:color="auto"/>
        <w:bottom w:val="none" w:sz="0" w:space="0" w:color="auto"/>
        <w:right w:val="none" w:sz="0" w:space="0" w:color="auto"/>
      </w:divBdr>
    </w:div>
    <w:div w:id="1784154877">
      <w:bodyDiv w:val="1"/>
      <w:marLeft w:val="0"/>
      <w:marRight w:val="0"/>
      <w:marTop w:val="0"/>
      <w:marBottom w:val="0"/>
      <w:divBdr>
        <w:top w:val="none" w:sz="0" w:space="0" w:color="auto"/>
        <w:left w:val="none" w:sz="0" w:space="0" w:color="auto"/>
        <w:bottom w:val="none" w:sz="0" w:space="0" w:color="auto"/>
        <w:right w:val="none" w:sz="0" w:space="0" w:color="auto"/>
      </w:divBdr>
    </w:div>
    <w:div w:id="1917398743">
      <w:bodyDiv w:val="1"/>
      <w:marLeft w:val="0"/>
      <w:marRight w:val="0"/>
      <w:marTop w:val="0"/>
      <w:marBottom w:val="0"/>
      <w:divBdr>
        <w:top w:val="none" w:sz="0" w:space="0" w:color="auto"/>
        <w:left w:val="none" w:sz="0" w:space="0" w:color="auto"/>
        <w:bottom w:val="none" w:sz="0" w:space="0" w:color="auto"/>
        <w:right w:val="none" w:sz="0" w:space="0" w:color="auto"/>
      </w:divBdr>
    </w:div>
    <w:div w:id="1994870197">
      <w:bodyDiv w:val="1"/>
      <w:marLeft w:val="0"/>
      <w:marRight w:val="0"/>
      <w:marTop w:val="0"/>
      <w:marBottom w:val="0"/>
      <w:divBdr>
        <w:top w:val="none" w:sz="0" w:space="0" w:color="auto"/>
        <w:left w:val="none" w:sz="0" w:space="0" w:color="auto"/>
        <w:bottom w:val="none" w:sz="0" w:space="0" w:color="auto"/>
        <w:right w:val="none" w:sz="0" w:space="0" w:color="auto"/>
      </w:divBdr>
    </w:div>
    <w:div w:id="20437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3" Type="http://schemas.openxmlformats.org/officeDocument/2006/relationships/hyperlink" Target="https://ddprimarycare.surreyplace.ca/wp-content/uploads/2019/05/3.6-Food-Weekly-Monitoring-Chart-updated.pdf" TargetMode="External"/><Relationship Id="rId18" Type="http://schemas.openxmlformats.org/officeDocument/2006/relationships/hyperlink" Target="https://ddprimarycare.surreyplace.ca/wp-content/uploads/2019/05/Menstrual-Cycle-monitoring-chart_final.pdf" TargetMode="External"/><Relationship Id="rId26" Type="http://schemas.openxmlformats.org/officeDocument/2006/relationships/hyperlink" Target="https://www.cambridge.org/core/services/aop-cambridge-core/content/view/4DF91A3D990E6AAFF40656DEADE3F7BC/S0007125000228341a.pdf/div-class-title-development-and-psychometric-properties-of-the-glasgow-depression-scale-for-people-with-a-learning-disability-div.pdf" TargetMode="External"/><Relationship Id="rId39" Type="http://schemas.openxmlformats.org/officeDocument/2006/relationships/hyperlink" Target="https://ddprimarycare.surreyplace.ca/wp-content/uploads/2019/06/3.11-Direct-Observation-System-1.pdf" TargetMode="External"/><Relationship Id="rId21" Type="http://schemas.openxmlformats.org/officeDocument/2006/relationships/hyperlink" Target="https://ddprimarycare.surreyplace.ca/wp-content/uploads/2019/06/3.11-Direct-Observation-System-1.pdf" TargetMode="External"/><Relationship Id="rId34" Type="http://schemas.openxmlformats.org/officeDocument/2006/relationships/hyperlink" Target="https://www.the-ntg.org/ntg-edsd" TargetMode="External"/><Relationship Id="rId42" Type="http://schemas.openxmlformats.org/officeDocument/2006/relationships/hyperlink" Target="http://ddprimarycare.surreyplace.ca/wp-content/uploads/2018/03/Auditing_Psychotropic_Med.pdf" TargetMode="External"/><Relationship Id="rId7" Type="http://schemas.openxmlformats.org/officeDocument/2006/relationships/hyperlink" Target="https://ddprimarycare.surreyplace.ca/tools-2/general-health/capacity-for-decision-making/" TargetMode="External"/><Relationship Id="rId2" Type="http://schemas.openxmlformats.org/officeDocument/2006/relationships/hyperlink" Target="http://ddprimarycare.surreyplace.ca/wp-content/uploads/2019/08/5.2-My-Healthcare-Visit.pdf" TargetMode="External"/><Relationship Id="rId16" Type="http://schemas.openxmlformats.org/officeDocument/2006/relationships/hyperlink" Target="https://ddprimarycare.surreyplace.ca/wp-content/uploads/2019/06/3.8-Pain-Assessment.pdf" TargetMode="External"/><Relationship Id="rId29" Type="http://schemas.openxmlformats.org/officeDocument/2006/relationships/hyperlink" Target="https://ddprimarycare.surreyplace.ca/tools-2/mental-health/abc-chart/" TargetMode="External"/><Relationship Id="rId1" Type="http://schemas.openxmlformats.org/officeDocument/2006/relationships/hyperlink" Target="https://ddprimarycare.surreyplace.ca/tools-2/general-health/about-my-health/" TargetMode="External"/><Relationship Id="rId6" Type="http://schemas.openxmlformats.org/officeDocument/2006/relationships/hyperlink" Target="https://ddprimarycare.surreyplace.ca/tools-2/general-health/psychological-assessment/" TargetMode="External"/><Relationship Id="rId11" Type="http://schemas.openxmlformats.org/officeDocument/2006/relationships/hyperlink" Target="https://ddprimarycare.surreyplace.ca/tools-2/general-health/todays-visit/" TargetMode="External"/><Relationship Id="rId24" Type="http://schemas.openxmlformats.org/officeDocument/2006/relationships/hyperlink" Target="https://ddprimarycare.surreyplace.ca/tools-2/mental-health/" TargetMode="External"/><Relationship Id="rId32" Type="http://schemas.openxmlformats.org/officeDocument/2006/relationships/hyperlink" Target="http://ddprimarycare.surreyplace.ca/wp-content/uploads/2018/03/Risk_Assessment_Tool.pdf" TargetMode="External"/><Relationship Id="rId37" Type="http://schemas.openxmlformats.org/officeDocument/2006/relationships/hyperlink" Target="http://ddprimarycare.surreyplace.ca/wp-content/uploads/2018/03/Psychotropic_Med_issues.pdf" TargetMode="External"/><Relationship Id="rId40" Type="http://schemas.openxmlformats.org/officeDocument/2006/relationships/hyperlink" Target="https://vimeo.com/145154734" TargetMode="External"/><Relationship Id="rId45" Type="http://schemas.openxmlformats.org/officeDocument/2006/relationships/hyperlink" Target="https://ddprimarycare.surreyplace.ca/tools-2/physical-health/epilepsy/" TargetMode="External"/><Relationship Id="rId5" Type="http://schemas.openxmlformats.org/officeDocument/2006/relationships/hyperlink" Target="https://ddprimarycare.surreyplace.ca/tools-2/general-health/adaptive-functioning/" TargetMode="External"/><Relationship Id="rId15" Type="http://schemas.openxmlformats.org/officeDocument/2006/relationships/hyperlink" Target="https://ddprimarycare.surreyplace.ca/wp-content/uploads/2019/05/Sleep-monitoring-chart_final.pdf" TargetMode="External"/><Relationship Id="rId23" Type="http://schemas.openxmlformats.org/officeDocument/2006/relationships/hyperlink" Target="https://ddprimarycare.surreyplace.ca/wp-content/uploads/2020/05/HELP-with-Emotional-Behavioural-Concerns-4May2020.pdf" TargetMode="External"/><Relationship Id="rId28" Type="http://schemas.openxmlformats.org/officeDocument/2006/relationships/hyperlink" Target="https://ddprimarycare.surreyplace.ca/wp-content/uploads/2019/06/3.11-Direct-Observation-System-1.pdf" TargetMode="External"/><Relationship Id="rId36" Type="http://schemas.openxmlformats.org/officeDocument/2006/relationships/hyperlink" Target="https://www.midss.org/sites/default/files/brief_family_distress_scale.pdf" TargetMode="External"/><Relationship Id="rId10" Type="http://schemas.openxmlformats.org/officeDocument/2006/relationships/hyperlink" Target="https://ddprimarycare.surreyplace.ca/tools-2/general-health/about-my-health/" TargetMode="External"/><Relationship Id="rId19" Type="http://schemas.openxmlformats.org/officeDocument/2006/relationships/hyperlink" Target="https://ddprimarycare.surreyplace.ca/tools-2/physical-health/epilepsy/" TargetMode="External"/><Relationship Id="rId31" Type="http://schemas.openxmlformats.org/officeDocument/2006/relationships/hyperlink" Target="https://ddprimarycare.surreyplace.ca/wp-content/uploads/2020/05/HELP-with-Emotional-Behavioural-Concerns-4May2020.pdf" TargetMode="External"/><Relationship Id="rId44" Type="http://schemas.openxmlformats.org/officeDocument/2006/relationships/hyperlink" Target="https://ddprimarycare.surreyplace.ca/tools-2/physical-health/monitoring-charts/" TargetMode="External"/><Relationship Id="rId4" Type="http://schemas.openxmlformats.org/officeDocument/2006/relationships/hyperlink" Target="https://ddprimarycare.surreyplace.ca/tools-2/general-health/communicating-effectively/" TargetMode="External"/><Relationship Id="rId9" Type="http://schemas.openxmlformats.org/officeDocument/2006/relationships/hyperlink" Target="https://ddprimarycare.surreyplace.ca/tools-2/general-health/genetic-assessment/" TargetMode="External"/><Relationship Id="rId14" Type="http://schemas.openxmlformats.org/officeDocument/2006/relationships/hyperlink" Target="https://ddprimarycare.surreyplace.ca/wp-content/uploads/2019/05/3.6-Food-Daily-Monitoring-Chart-2.pdf" TargetMode="External"/><Relationship Id="rId22" Type="http://schemas.openxmlformats.org/officeDocument/2006/relationships/hyperlink" Target="https://ddprimarycare.surreyplace.ca/tools-2/mental-health/abc-chart/" TargetMode="External"/><Relationship Id="rId27" Type="http://schemas.openxmlformats.org/officeDocument/2006/relationships/hyperlink" Target="https://onlinelibrary.wiley.com/doi/epdf/10.1046/j.1365-2788.2003.00457.x" TargetMode="External"/><Relationship Id="rId30" Type="http://schemas.openxmlformats.org/officeDocument/2006/relationships/hyperlink" Target="http://ddprimarycare.surreyplace.ca/wp-content/uploads/2018/03/Initial_Mgmt_Behavioural_Crises_in_FM.pdf" TargetMode="External"/><Relationship Id="rId35" Type="http://schemas.openxmlformats.org/officeDocument/2006/relationships/hyperlink" Target="https://ddprimarycare.surreyplace.ca/tools-2/general-health/transitions/" TargetMode="External"/><Relationship Id="rId43" Type="http://schemas.openxmlformats.org/officeDocument/2006/relationships/hyperlink" Target="https://ddprimarycare.surreyplace.ca/tools-2/health-watch-tables/" TargetMode="External"/><Relationship Id="rId8" Type="http://schemas.openxmlformats.org/officeDocument/2006/relationships/hyperlink" Target="https://ddprimarycare.surreyplace.ca/tools-2/health-watch-tables/" TargetMode="External"/><Relationship Id="rId3" Type="http://schemas.openxmlformats.org/officeDocument/2006/relationships/hyperlink" Target="https://ddprimarycare.surreyplace.ca/tools-2/general-health/about-my-health/" TargetMode="External"/><Relationship Id="rId12" Type="http://schemas.openxmlformats.org/officeDocument/2006/relationships/hyperlink" Target="https://ddprimarycare.surreyplace.ca/wp-content/uploads/2019/05/Weight-monitoring-chart_final.pdf" TargetMode="External"/><Relationship Id="rId17" Type="http://schemas.openxmlformats.org/officeDocument/2006/relationships/hyperlink" Target="https://ddprimarycare.surreyplace.ca/wp-content/uploads/2019/05/Bowel-Movement-monitoring-chart_final.pdf" TargetMode="External"/><Relationship Id="rId25" Type="http://schemas.openxmlformats.org/officeDocument/2006/relationships/hyperlink" Target="https://www.cambridge.org/core/services/aop-cambridge-core/content/view/4DF91A3D990E6AAFF40656DEADE3F7BC/S0007125000228341a.pdf/development_and_psychometric_properties_of_the_glasgow_depression_scale_for_people_with_a_learning_disability.pdf" TargetMode="External"/><Relationship Id="rId33" Type="http://schemas.openxmlformats.org/officeDocument/2006/relationships/hyperlink" Target="https://ddprimarycare.surreyplace.ca/tools-2/mental-health/" TargetMode="External"/><Relationship Id="rId38" Type="http://schemas.openxmlformats.org/officeDocument/2006/relationships/hyperlink" Target="http://ddprimarycare.surreyplace.ca/wp-content/uploads/2018/03/Auditing_Psychotropic_Med.pdf" TargetMode="External"/><Relationship Id="rId46" Type="http://schemas.openxmlformats.org/officeDocument/2006/relationships/hyperlink" Target="https://ddprimarycare.surreyplace.ca/tools-2/general-health/todays-visit/" TargetMode="External"/><Relationship Id="rId20" Type="http://schemas.openxmlformats.org/officeDocument/2006/relationships/hyperlink" Target="https://www.easyhealth.org.uk/" TargetMode="External"/><Relationship Id="rId41" Type="http://schemas.openxmlformats.org/officeDocument/2006/relationships/hyperlink" Target="https://www.easyheal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d79846-4a16-4c5c-b25d-67147331d0c9" xsi:nil="true"/>
    <lcf76f155ced4ddcb4097134ff3c332f xmlns="775e34e0-fc2b-42da-8d83-3bdd3eddd3e3">
      <Terms xmlns="http://schemas.microsoft.com/office/infopath/2007/PartnerControls"/>
    </lcf76f155ced4ddcb4097134ff3c332f>
    <SharedWithUsers xmlns="68d79846-4a16-4c5c-b25d-67147331d0c9">
      <UserInfo>
        <DisplayName>Heidi Diepstra</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EBE4A77E79A84B8B0EB5CDFDBB377A" ma:contentTypeVersion="17" ma:contentTypeDescription="Create a new document." ma:contentTypeScope="" ma:versionID="438704a47f4dd3f0cf8ce41042d008be">
  <xsd:schema xmlns:xsd="http://www.w3.org/2001/XMLSchema" xmlns:xs="http://www.w3.org/2001/XMLSchema" xmlns:p="http://schemas.microsoft.com/office/2006/metadata/properties" xmlns:ns2="775e34e0-fc2b-42da-8d83-3bdd3eddd3e3" xmlns:ns3="68d79846-4a16-4c5c-b25d-67147331d0c9" targetNamespace="http://schemas.microsoft.com/office/2006/metadata/properties" ma:root="true" ma:fieldsID="ce17c7c5334a8be5e457cb4299898b68" ns2:_="" ns3:_="">
    <xsd:import namespace="775e34e0-fc2b-42da-8d83-3bdd3eddd3e3"/>
    <xsd:import namespace="68d79846-4a16-4c5c-b25d-67147331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e34e0-fc2b-42da-8d83-3bdd3eddd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f76747-b53d-44da-b125-f8708cccd3f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79846-4a16-4c5c-b25d-67147331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6d5ee-cc77-40d1-bf91-569705d64548}" ma:internalName="TaxCatchAll" ma:showField="CatchAllData" ma:web="68d79846-4a16-4c5c-b25d-67147331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2379D-1ED4-4365-9865-DEB076D0E479}">
  <ds:schemaRefs>
    <ds:schemaRef ds:uri="http://schemas.microsoft.com/office/2006/metadata/properties"/>
    <ds:schemaRef ds:uri="http://schemas.microsoft.com/office/infopath/2007/PartnerControls"/>
    <ds:schemaRef ds:uri="68d79846-4a16-4c5c-b25d-67147331d0c9"/>
    <ds:schemaRef ds:uri="775e34e0-fc2b-42da-8d83-3bdd3eddd3e3"/>
  </ds:schemaRefs>
</ds:datastoreItem>
</file>

<file path=customXml/itemProps2.xml><?xml version="1.0" encoding="utf-8"?>
<ds:datastoreItem xmlns:ds="http://schemas.openxmlformats.org/officeDocument/2006/customXml" ds:itemID="{DCAA0A27-C741-4FBC-B3A5-6790704C7698}">
  <ds:schemaRefs>
    <ds:schemaRef ds:uri="http://schemas.openxmlformats.org/officeDocument/2006/bibliography"/>
  </ds:schemaRefs>
</ds:datastoreItem>
</file>

<file path=customXml/itemProps3.xml><?xml version="1.0" encoding="utf-8"?>
<ds:datastoreItem xmlns:ds="http://schemas.openxmlformats.org/officeDocument/2006/customXml" ds:itemID="{729D560E-130B-4927-A272-D986A707F787}">
  <ds:schemaRefs>
    <ds:schemaRef ds:uri="http://schemas.microsoft.com/sharepoint/v3/contenttype/forms"/>
  </ds:schemaRefs>
</ds:datastoreItem>
</file>

<file path=customXml/itemProps4.xml><?xml version="1.0" encoding="utf-8"?>
<ds:datastoreItem xmlns:ds="http://schemas.openxmlformats.org/officeDocument/2006/customXml" ds:itemID="{166BB6C5-75D4-4398-8173-E23A8BE1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e34e0-fc2b-42da-8d83-3bdd3eddd3e3"/>
    <ds:schemaRef ds:uri="68d79846-4a16-4c5c-b25d-67147331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Links>
    <vt:vector size="306" baseType="variant">
      <vt:variant>
        <vt:i4>655381</vt:i4>
      </vt:variant>
      <vt:variant>
        <vt:i4>150</vt:i4>
      </vt:variant>
      <vt:variant>
        <vt:i4>0</vt:i4>
      </vt:variant>
      <vt:variant>
        <vt:i4>5</vt:i4>
      </vt:variant>
      <vt:variant>
        <vt:lpwstr>https://ddprimarycare.surreyplace.ca/tools-2/general-health/todays-visit/</vt:lpwstr>
      </vt:variant>
      <vt:variant>
        <vt:lpwstr/>
      </vt:variant>
      <vt:variant>
        <vt:i4>3866671</vt:i4>
      </vt:variant>
      <vt:variant>
        <vt:i4>147</vt:i4>
      </vt:variant>
      <vt:variant>
        <vt:i4>0</vt:i4>
      </vt:variant>
      <vt:variant>
        <vt:i4>5</vt:i4>
      </vt:variant>
      <vt:variant>
        <vt:lpwstr>https://ddprimarycare.surreyplace.ca/tools-2/physical-health/epilepsy/</vt:lpwstr>
      </vt:variant>
      <vt:variant>
        <vt:lpwstr/>
      </vt:variant>
      <vt:variant>
        <vt:i4>2162731</vt:i4>
      </vt:variant>
      <vt:variant>
        <vt:i4>144</vt:i4>
      </vt:variant>
      <vt:variant>
        <vt:i4>0</vt:i4>
      </vt:variant>
      <vt:variant>
        <vt:i4>5</vt:i4>
      </vt:variant>
      <vt:variant>
        <vt:lpwstr>https://ddprimarycare.surreyplace.ca/tools-2/physical-health/monitoring-charts/</vt:lpwstr>
      </vt:variant>
      <vt:variant>
        <vt:lpwstr/>
      </vt:variant>
      <vt:variant>
        <vt:i4>4325381</vt:i4>
      </vt:variant>
      <vt:variant>
        <vt:i4>141</vt:i4>
      </vt:variant>
      <vt:variant>
        <vt:i4>0</vt:i4>
      </vt:variant>
      <vt:variant>
        <vt:i4>5</vt:i4>
      </vt:variant>
      <vt:variant>
        <vt:lpwstr>https://ddprimarycare.surreyplace.ca/tools-2/health-watch-tables/</vt:lpwstr>
      </vt:variant>
      <vt:variant>
        <vt:lpwstr/>
      </vt:variant>
      <vt:variant>
        <vt:i4>3080243</vt:i4>
      </vt:variant>
      <vt:variant>
        <vt:i4>138</vt:i4>
      </vt:variant>
      <vt:variant>
        <vt:i4>0</vt:i4>
      </vt:variant>
      <vt:variant>
        <vt:i4>5</vt:i4>
      </vt:variant>
      <vt:variant>
        <vt:lpwstr>http://ddprimarycare.surreyplace.ca/wp-content/uploads/2018/03/Auditing_Psychotropic_Med.pdf</vt:lpwstr>
      </vt:variant>
      <vt:variant>
        <vt:lpwstr/>
      </vt:variant>
      <vt:variant>
        <vt:i4>6488114</vt:i4>
      </vt:variant>
      <vt:variant>
        <vt:i4>135</vt:i4>
      </vt:variant>
      <vt:variant>
        <vt:i4>0</vt:i4>
      </vt:variant>
      <vt:variant>
        <vt:i4>5</vt:i4>
      </vt:variant>
      <vt:variant>
        <vt:lpwstr>https://www.easyhealth.org.uk/</vt:lpwstr>
      </vt:variant>
      <vt:variant>
        <vt:lpwstr/>
      </vt:variant>
      <vt:variant>
        <vt:i4>4521999</vt:i4>
      </vt:variant>
      <vt:variant>
        <vt:i4>132</vt:i4>
      </vt:variant>
      <vt:variant>
        <vt:i4>0</vt:i4>
      </vt:variant>
      <vt:variant>
        <vt:i4>5</vt:i4>
      </vt:variant>
      <vt:variant>
        <vt:lpwstr>https://hypertension.ca/bpdevices</vt:lpwstr>
      </vt:variant>
      <vt:variant>
        <vt:lpwstr/>
      </vt:variant>
      <vt:variant>
        <vt:i4>7405628</vt:i4>
      </vt:variant>
      <vt:variant>
        <vt:i4>129</vt:i4>
      </vt:variant>
      <vt:variant>
        <vt:i4>0</vt:i4>
      </vt:variant>
      <vt:variant>
        <vt:i4>5</vt:i4>
      </vt:variant>
      <vt:variant>
        <vt:lpwstr>https://vimeo.com/145154734</vt:lpwstr>
      </vt:variant>
      <vt:variant>
        <vt:lpwstr/>
      </vt:variant>
      <vt:variant>
        <vt:i4>6488114</vt:i4>
      </vt:variant>
      <vt:variant>
        <vt:i4>126</vt:i4>
      </vt:variant>
      <vt:variant>
        <vt:i4>0</vt:i4>
      </vt:variant>
      <vt:variant>
        <vt:i4>5</vt:i4>
      </vt:variant>
      <vt:variant>
        <vt:lpwstr>https://www.easyhealth.org.uk/</vt:lpwstr>
      </vt:variant>
      <vt:variant>
        <vt:lpwstr/>
      </vt:variant>
      <vt:variant>
        <vt:i4>1835101</vt:i4>
      </vt:variant>
      <vt:variant>
        <vt:i4>123</vt:i4>
      </vt:variant>
      <vt:variant>
        <vt:i4>0</vt:i4>
      </vt:variant>
      <vt:variant>
        <vt:i4>5</vt:i4>
      </vt:variant>
      <vt:variant>
        <vt:lpwstr>https://ddprimarycare.surreyplace.ca/wp-content/uploads/2019/06/3.11-Direct-Observation-System-1.pdf</vt:lpwstr>
      </vt:variant>
      <vt:variant>
        <vt:lpwstr/>
      </vt:variant>
      <vt:variant>
        <vt:i4>3080243</vt:i4>
      </vt:variant>
      <vt:variant>
        <vt:i4>120</vt:i4>
      </vt:variant>
      <vt:variant>
        <vt:i4>0</vt:i4>
      </vt:variant>
      <vt:variant>
        <vt:i4>5</vt:i4>
      </vt:variant>
      <vt:variant>
        <vt:lpwstr>http://ddprimarycare.surreyplace.ca/wp-content/uploads/2018/03/Auditing_Psychotropic_Med.pdf</vt:lpwstr>
      </vt:variant>
      <vt:variant>
        <vt:lpwstr/>
      </vt:variant>
      <vt:variant>
        <vt:i4>8061024</vt:i4>
      </vt:variant>
      <vt:variant>
        <vt:i4>117</vt:i4>
      </vt:variant>
      <vt:variant>
        <vt:i4>0</vt:i4>
      </vt:variant>
      <vt:variant>
        <vt:i4>5</vt:i4>
      </vt:variant>
      <vt:variant>
        <vt:lpwstr>http://ddprimarycare.surreyplace.ca/wp-content/uploads/2018/03/Psychotropic_Med_issues.pdf</vt:lpwstr>
      </vt:variant>
      <vt:variant>
        <vt:lpwstr/>
      </vt:variant>
      <vt:variant>
        <vt:i4>5439589</vt:i4>
      </vt:variant>
      <vt:variant>
        <vt:i4>114</vt:i4>
      </vt:variant>
      <vt:variant>
        <vt:i4>0</vt:i4>
      </vt:variant>
      <vt:variant>
        <vt:i4>5</vt:i4>
      </vt:variant>
      <vt:variant>
        <vt:lpwstr>https://www.midss.org/sites/default/files/brief_family_distress_scale.pdf</vt:lpwstr>
      </vt:variant>
      <vt:variant>
        <vt:lpwstr/>
      </vt:variant>
      <vt:variant>
        <vt:i4>5963871</vt:i4>
      </vt:variant>
      <vt:variant>
        <vt:i4>111</vt:i4>
      </vt:variant>
      <vt:variant>
        <vt:i4>0</vt:i4>
      </vt:variant>
      <vt:variant>
        <vt:i4>5</vt:i4>
      </vt:variant>
      <vt:variant>
        <vt:lpwstr>https://ddprimarycare.surreyplace.ca/tools-2/general-health/transitions/</vt:lpwstr>
      </vt:variant>
      <vt:variant>
        <vt:lpwstr/>
      </vt:variant>
      <vt:variant>
        <vt:i4>5439567</vt:i4>
      </vt:variant>
      <vt:variant>
        <vt:i4>108</vt:i4>
      </vt:variant>
      <vt:variant>
        <vt:i4>0</vt:i4>
      </vt:variant>
      <vt:variant>
        <vt:i4>5</vt:i4>
      </vt:variant>
      <vt:variant>
        <vt:lpwstr>https://www.the-ntg.org/ntg-edsd</vt:lpwstr>
      </vt:variant>
      <vt:variant>
        <vt:lpwstr/>
      </vt:variant>
      <vt:variant>
        <vt:i4>7143548</vt:i4>
      </vt:variant>
      <vt:variant>
        <vt:i4>105</vt:i4>
      </vt:variant>
      <vt:variant>
        <vt:i4>0</vt:i4>
      </vt:variant>
      <vt:variant>
        <vt:i4>5</vt:i4>
      </vt:variant>
      <vt:variant>
        <vt:lpwstr>https://ddprimarycare.surreyplace.ca/tools-2/mental-health/</vt:lpwstr>
      </vt:variant>
      <vt:variant>
        <vt:lpwstr/>
      </vt:variant>
      <vt:variant>
        <vt:i4>1376270</vt:i4>
      </vt:variant>
      <vt:variant>
        <vt:i4>102</vt:i4>
      </vt:variant>
      <vt:variant>
        <vt:i4>0</vt:i4>
      </vt:variant>
      <vt:variant>
        <vt:i4>5</vt:i4>
      </vt:variant>
      <vt:variant>
        <vt:lpwstr>http://ddprimarycare.surreyplace.ca/wp-content/uploads/2018/03/Risk_Assessment_Tool.pdf</vt:lpwstr>
      </vt:variant>
      <vt:variant>
        <vt:lpwstr/>
      </vt:variant>
      <vt:variant>
        <vt:i4>1376267</vt:i4>
      </vt:variant>
      <vt:variant>
        <vt:i4>99</vt:i4>
      </vt:variant>
      <vt:variant>
        <vt:i4>0</vt:i4>
      </vt:variant>
      <vt:variant>
        <vt:i4>5</vt:i4>
      </vt:variant>
      <vt:variant>
        <vt:lpwstr>https://ddprimarycare.surreyplace.ca/wp-content/uploads/2020/05/HELP-with-Emotional-Behavioural-Concerns-4May2020.pdf</vt:lpwstr>
      </vt:variant>
      <vt:variant>
        <vt:lpwstr/>
      </vt:variant>
      <vt:variant>
        <vt:i4>2949130</vt:i4>
      </vt:variant>
      <vt:variant>
        <vt:i4>96</vt:i4>
      </vt:variant>
      <vt:variant>
        <vt:i4>0</vt:i4>
      </vt:variant>
      <vt:variant>
        <vt:i4>5</vt:i4>
      </vt:variant>
      <vt:variant>
        <vt:lpwstr>http://ddprimarycare.surreyplace.ca/wp-content/uploads/2018/03/Initial_Mgmt_Behavioural_Crises_in_FM.pdf</vt:lpwstr>
      </vt:variant>
      <vt:variant>
        <vt:lpwstr/>
      </vt:variant>
      <vt:variant>
        <vt:i4>1638406</vt:i4>
      </vt:variant>
      <vt:variant>
        <vt:i4>93</vt:i4>
      </vt:variant>
      <vt:variant>
        <vt:i4>0</vt:i4>
      </vt:variant>
      <vt:variant>
        <vt:i4>5</vt:i4>
      </vt:variant>
      <vt:variant>
        <vt:lpwstr>https://ddprimarycare.surreyplace.ca/tools-2/mental-health/abc-chart/</vt:lpwstr>
      </vt:variant>
      <vt:variant>
        <vt:lpwstr/>
      </vt:variant>
      <vt:variant>
        <vt:i4>1835101</vt:i4>
      </vt:variant>
      <vt:variant>
        <vt:i4>90</vt:i4>
      </vt:variant>
      <vt:variant>
        <vt:i4>0</vt:i4>
      </vt:variant>
      <vt:variant>
        <vt:i4>5</vt:i4>
      </vt:variant>
      <vt:variant>
        <vt:lpwstr>https://ddprimarycare.surreyplace.ca/wp-content/uploads/2019/06/3.11-Direct-Observation-System-1.pdf</vt:lpwstr>
      </vt:variant>
      <vt:variant>
        <vt:lpwstr/>
      </vt:variant>
      <vt:variant>
        <vt:i4>3080243</vt:i4>
      </vt:variant>
      <vt:variant>
        <vt:i4>87</vt:i4>
      </vt:variant>
      <vt:variant>
        <vt:i4>0</vt:i4>
      </vt:variant>
      <vt:variant>
        <vt:i4>5</vt:i4>
      </vt:variant>
      <vt:variant>
        <vt:lpwstr>http://ddprimarycare.surreyplace.ca/wp-content/uploads/2018/03/Auditing_Psychotropic_Med.pdf</vt:lpwstr>
      </vt:variant>
      <vt:variant>
        <vt:lpwstr/>
      </vt:variant>
      <vt:variant>
        <vt:i4>8061024</vt:i4>
      </vt:variant>
      <vt:variant>
        <vt:i4>84</vt:i4>
      </vt:variant>
      <vt:variant>
        <vt:i4>0</vt:i4>
      </vt:variant>
      <vt:variant>
        <vt:i4>5</vt:i4>
      </vt:variant>
      <vt:variant>
        <vt:lpwstr>http://ddprimarycare.surreyplace.ca/wp-content/uploads/2018/03/Psychotropic_Med_issues.pdf</vt:lpwstr>
      </vt:variant>
      <vt:variant>
        <vt:lpwstr/>
      </vt:variant>
      <vt:variant>
        <vt:i4>5308498</vt:i4>
      </vt:variant>
      <vt:variant>
        <vt:i4>81</vt:i4>
      </vt:variant>
      <vt:variant>
        <vt:i4>0</vt:i4>
      </vt:variant>
      <vt:variant>
        <vt:i4>5</vt:i4>
      </vt:variant>
      <vt:variant>
        <vt:lpwstr>https://onlinelibrary.wiley.com/doi/epdf/10.1046/j.1365-2788.2003.00457.x</vt:lpwstr>
      </vt:variant>
      <vt:variant>
        <vt:lpwstr/>
      </vt:variant>
      <vt:variant>
        <vt:i4>7209018</vt:i4>
      </vt:variant>
      <vt:variant>
        <vt:i4>78</vt:i4>
      </vt:variant>
      <vt:variant>
        <vt:i4>0</vt:i4>
      </vt:variant>
      <vt:variant>
        <vt:i4>5</vt:i4>
      </vt:variant>
      <vt:variant>
        <vt:lpwstr>https://www.cambridge.org/core/services/aop-cambridge-core/content/view/4DF91A3D990E6AAFF40656DEADE3F7BC/S0007125000228341a.pdf/div-class-title-development-and-psychometric-properties-of-the-glasgow-depression-scale-for-people-with-a-learning-disability-div.pdf</vt:lpwstr>
      </vt:variant>
      <vt:variant>
        <vt:lpwstr/>
      </vt:variant>
      <vt:variant>
        <vt:i4>5701708</vt:i4>
      </vt:variant>
      <vt:variant>
        <vt:i4>75</vt:i4>
      </vt:variant>
      <vt:variant>
        <vt:i4>0</vt:i4>
      </vt:variant>
      <vt:variant>
        <vt:i4>5</vt:i4>
      </vt:variant>
      <vt:variant>
        <vt:lpwstr>https://www.cambridge.org/core/services/aop-cambridge-core/content/view/4DF91A3D990E6AAFF40656DEADE3F7BC/S0007125000228341a.pdf/development_and_psychometric_properties_of_the_glasgow_depression_scale_for_people_with_a_learning_disability.pdf</vt:lpwstr>
      </vt:variant>
      <vt:variant>
        <vt:lpwstr/>
      </vt:variant>
      <vt:variant>
        <vt:i4>7143548</vt:i4>
      </vt:variant>
      <vt:variant>
        <vt:i4>72</vt:i4>
      </vt:variant>
      <vt:variant>
        <vt:i4>0</vt:i4>
      </vt:variant>
      <vt:variant>
        <vt:i4>5</vt:i4>
      </vt:variant>
      <vt:variant>
        <vt:lpwstr>https://ddprimarycare.surreyplace.ca/tools-2/mental-health/</vt:lpwstr>
      </vt:variant>
      <vt:variant>
        <vt:lpwstr/>
      </vt:variant>
      <vt:variant>
        <vt:i4>1376267</vt:i4>
      </vt:variant>
      <vt:variant>
        <vt:i4>69</vt:i4>
      </vt:variant>
      <vt:variant>
        <vt:i4>0</vt:i4>
      </vt:variant>
      <vt:variant>
        <vt:i4>5</vt:i4>
      </vt:variant>
      <vt:variant>
        <vt:lpwstr>https://ddprimarycare.surreyplace.ca/wp-content/uploads/2020/05/HELP-with-Emotional-Behavioural-Concerns-4May2020.pdf</vt:lpwstr>
      </vt:variant>
      <vt:variant>
        <vt:lpwstr/>
      </vt:variant>
      <vt:variant>
        <vt:i4>1638406</vt:i4>
      </vt:variant>
      <vt:variant>
        <vt:i4>66</vt:i4>
      </vt:variant>
      <vt:variant>
        <vt:i4>0</vt:i4>
      </vt:variant>
      <vt:variant>
        <vt:i4>5</vt:i4>
      </vt:variant>
      <vt:variant>
        <vt:lpwstr>https://ddprimarycare.surreyplace.ca/tools-2/mental-health/abc-chart/</vt:lpwstr>
      </vt:variant>
      <vt:variant>
        <vt:lpwstr/>
      </vt:variant>
      <vt:variant>
        <vt:i4>1835101</vt:i4>
      </vt:variant>
      <vt:variant>
        <vt:i4>63</vt:i4>
      </vt:variant>
      <vt:variant>
        <vt:i4>0</vt:i4>
      </vt:variant>
      <vt:variant>
        <vt:i4>5</vt:i4>
      </vt:variant>
      <vt:variant>
        <vt:lpwstr>https://ddprimarycare.surreyplace.ca/wp-content/uploads/2019/06/3.11-Direct-Observation-System-1.pdf</vt:lpwstr>
      </vt:variant>
      <vt:variant>
        <vt:lpwstr/>
      </vt:variant>
      <vt:variant>
        <vt:i4>6488114</vt:i4>
      </vt:variant>
      <vt:variant>
        <vt:i4>60</vt:i4>
      </vt:variant>
      <vt:variant>
        <vt:i4>0</vt:i4>
      </vt:variant>
      <vt:variant>
        <vt:i4>5</vt:i4>
      </vt:variant>
      <vt:variant>
        <vt:lpwstr>https://www.easyhealth.org.uk/</vt:lpwstr>
      </vt:variant>
      <vt:variant>
        <vt:lpwstr/>
      </vt:variant>
      <vt:variant>
        <vt:i4>3866671</vt:i4>
      </vt:variant>
      <vt:variant>
        <vt:i4>57</vt:i4>
      </vt:variant>
      <vt:variant>
        <vt:i4>0</vt:i4>
      </vt:variant>
      <vt:variant>
        <vt:i4>5</vt:i4>
      </vt:variant>
      <vt:variant>
        <vt:lpwstr>https://ddprimarycare.surreyplace.ca/tools-2/physical-health/epilepsy/</vt:lpwstr>
      </vt:variant>
      <vt:variant>
        <vt:lpwstr/>
      </vt:variant>
      <vt:variant>
        <vt:i4>2621513</vt:i4>
      </vt:variant>
      <vt:variant>
        <vt:i4>54</vt:i4>
      </vt:variant>
      <vt:variant>
        <vt:i4>0</vt:i4>
      </vt:variant>
      <vt:variant>
        <vt:i4>5</vt:i4>
      </vt:variant>
      <vt:variant>
        <vt:lpwstr>https://ddprimarycare.surreyplace.ca/wp-content/uploads/2019/05/Menstrual-Cycle-monitoring-chart_final.pdf</vt:lpwstr>
      </vt:variant>
      <vt:variant>
        <vt:lpwstr/>
      </vt:variant>
      <vt:variant>
        <vt:i4>2490442</vt:i4>
      </vt:variant>
      <vt:variant>
        <vt:i4>51</vt:i4>
      </vt:variant>
      <vt:variant>
        <vt:i4>0</vt:i4>
      </vt:variant>
      <vt:variant>
        <vt:i4>5</vt:i4>
      </vt:variant>
      <vt:variant>
        <vt:lpwstr>https://ddprimarycare.surreyplace.ca/wp-content/uploads/2019/05/Bowel-Movement-monitoring-chart_final.pdf</vt:lpwstr>
      </vt:variant>
      <vt:variant>
        <vt:lpwstr/>
      </vt:variant>
      <vt:variant>
        <vt:i4>8323131</vt:i4>
      </vt:variant>
      <vt:variant>
        <vt:i4>48</vt:i4>
      </vt:variant>
      <vt:variant>
        <vt:i4>0</vt:i4>
      </vt:variant>
      <vt:variant>
        <vt:i4>5</vt:i4>
      </vt:variant>
      <vt:variant>
        <vt:lpwstr>https://ddprimarycare.surreyplace.ca/wp-content/uploads/2019/06/3.8-Pain-Assessment.pdf</vt:lpwstr>
      </vt:variant>
      <vt:variant>
        <vt:lpwstr/>
      </vt:variant>
      <vt:variant>
        <vt:i4>1835044</vt:i4>
      </vt:variant>
      <vt:variant>
        <vt:i4>45</vt:i4>
      </vt:variant>
      <vt:variant>
        <vt:i4>0</vt:i4>
      </vt:variant>
      <vt:variant>
        <vt:i4>5</vt:i4>
      </vt:variant>
      <vt:variant>
        <vt:lpwstr>https://ddprimarycare.surreyplace.ca/wp-content/uploads/2019/05/Sleep-monitoring-chart_final.pdf</vt:lpwstr>
      </vt:variant>
      <vt:variant>
        <vt:lpwstr/>
      </vt:variant>
      <vt:variant>
        <vt:i4>1835089</vt:i4>
      </vt:variant>
      <vt:variant>
        <vt:i4>42</vt:i4>
      </vt:variant>
      <vt:variant>
        <vt:i4>0</vt:i4>
      </vt:variant>
      <vt:variant>
        <vt:i4>5</vt:i4>
      </vt:variant>
      <vt:variant>
        <vt:lpwstr>https://ddprimarycare.surreyplace.ca/wp-content/uploads/2019/05/3.6-Food-Daily-Monitoring-Chart-2.pdf</vt:lpwstr>
      </vt:variant>
      <vt:variant>
        <vt:lpwstr/>
      </vt:variant>
      <vt:variant>
        <vt:i4>393242</vt:i4>
      </vt:variant>
      <vt:variant>
        <vt:i4>39</vt:i4>
      </vt:variant>
      <vt:variant>
        <vt:i4>0</vt:i4>
      </vt:variant>
      <vt:variant>
        <vt:i4>5</vt:i4>
      </vt:variant>
      <vt:variant>
        <vt:lpwstr>https://ddprimarycare.surreyplace.ca/wp-content/uploads/2019/05/3.6-Food-Weekly-Monitoring-Chart-updated.pdf</vt:lpwstr>
      </vt:variant>
      <vt:variant>
        <vt:lpwstr/>
      </vt:variant>
      <vt:variant>
        <vt:i4>7077981</vt:i4>
      </vt:variant>
      <vt:variant>
        <vt:i4>36</vt:i4>
      </vt:variant>
      <vt:variant>
        <vt:i4>0</vt:i4>
      </vt:variant>
      <vt:variant>
        <vt:i4>5</vt:i4>
      </vt:variant>
      <vt:variant>
        <vt:lpwstr>https://ddprimarycare.surreyplace.ca/wp-content/uploads/2019/05/Weight-monitoring-chart_final.pdf</vt:lpwstr>
      </vt:variant>
      <vt:variant>
        <vt:lpwstr/>
      </vt:variant>
      <vt:variant>
        <vt:i4>655381</vt:i4>
      </vt:variant>
      <vt:variant>
        <vt:i4>33</vt:i4>
      </vt:variant>
      <vt:variant>
        <vt:i4>0</vt:i4>
      </vt:variant>
      <vt:variant>
        <vt:i4>5</vt:i4>
      </vt:variant>
      <vt:variant>
        <vt:lpwstr>https://ddprimarycare.surreyplace.ca/tools-2/general-health/todays-visit/</vt:lpwstr>
      </vt:variant>
      <vt:variant>
        <vt:lpwstr/>
      </vt:variant>
      <vt:variant>
        <vt:i4>1507338</vt:i4>
      </vt:variant>
      <vt:variant>
        <vt:i4>30</vt:i4>
      </vt:variant>
      <vt:variant>
        <vt:i4>0</vt:i4>
      </vt:variant>
      <vt:variant>
        <vt:i4>5</vt:i4>
      </vt:variant>
      <vt:variant>
        <vt:lpwstr>https://ddprimarycare.surreyplace.ca/tools-2/general-health/about-my-health/</vt:lpwstr>
      </vt:variant>
      <vt:variant>
        <vt:lpwstr/>
      </vt:variant>
      <vt:variant>
        <vt:i4>3538989</vt:i4>
      </vt:variant>
      <vt:variant>
        <vt:i4>27</vt:i4>
      </vt:variant>
      <vt:variant>
        <vt:i4>0</vt:i4>
      </vt:variant>
      <vt:variant>
        <vt:i4>5</vt:i4>
      </vt:variant>
      <vt:variant>
        <vt:lpwstr>https://ddprimarycare.surreyplace.ca/tools-2/general-health/genetic-assessment/</vt:lpwstr>
      </vt:variant>
      <vt:variant>
        <vt:lpwstr/>
      </vt:variant>
      <vt:variant>
        <vt:i4>4325381</vt:i4>
      </vt:variant>
      <vt:variant>
        <vt:i4>24</vt:i4>
      </vt:variant>
      <vt:variant>
        <vt:i4>0</vt:i4>
      </vt:variant>
      <vt:variant>
        <vt:i4>5</vt:i4>
      </vt:variant>
      <vt:variant>
        <vt:lpwstr>https://ddprimarycare.surreyplace.ca/tools-2/health-watch-tables/</vt:lpwstr>
      </vt:variant>
      <vt:variant>
        <vt:lpwstr/>
      </vt:variant>
      <vt:variant>
        <vt:i4>5963865</vt:i4>
      </vt:variant>
      <vt:variant>
        <vt:i4>21</vt:i4>
      </vt:variant>
      <vt:variant>
        <vt:i4>0</vt:i4>
      </vt:variant>
      <vt:variant>
        <vt:i4>5</vt:i4>
      </vt:variant>
      <vt:variant>
        <vt:lpwstr>https://ddprimarycare.surreyplace.ca/tools-2/general-health/capacity-for-decision-making/</vt:lpwstr>
      </vt:variant>
      <vt:variant>
        <vt:lpwstr/>
      </vt:variant>
      <vt:variant>
        <vt:i4>4653142</vt:i4>
      </vt:variant>
      <vt:variant>
        <vt:i4>18</vt:i4>
      </vt:variant>
      <vt:variant>
        <vt:i4>0</vt:i4>
      </vt:variant>
      <vt:variant>
        <vt:i4>5</vt:i4>
      </vt:variant>
      <vt:variant>
        <vt:lpwstr>https://ddprimarycare.surreyplace.ca/tools-2/general-health/psychological-assessment/</vt:lpwstr>
      </vt:variant>
      <vt:variant>
        <vt:lpwstr/>
      </vt:variant>
      <vt:variant>
        <vt:i4>196609</vt:i4>
      </vt:variant>
      <vt:variant>
        <vt:i4>15</vt:i4>
      </vt:variant>
      <vt:variant>
        <vt:i4>0</vt:i4>
      </vt:variant>
      <vt:variant>
        <vt:i4>5</vt:i4>
      </vt:variant>
      <vt:variant>
        <vt:lpwstr>https://ddprimarycare.surreyplace.ca/tools-2/general-health/adaptive-functioning/</vt:lpwstr>
      </vt:variant>
      <vt:variant>
        <vt:lpwstr/>
      </vt:variant>
      <vt:variant>
        <vt:i4>8126521</vt:i4>
      </vt:variant>
      <vt:variant>
        <vt:i4>12</vt:i4>
      </vt:variant>
      <vt:variant>
        <vt:i4>0</vt:i4>
      </vt:variant>
      <vt:variant>
        <vt:i4>5</vt:i4>
      </vt:variant>
      <vt:variant>
        <vt:lpwstr>https://ddprimarycare.surreyplace.ca/tools-2/general-health/communicating-effectively/</vt:lpwstr>
      </vt:variant>
      <vt:variant>
        <vt:lpwstr/>
      </vt:variant>
      <vt:variant>
        <vt:i4>655381</vt:i4>
      </vt:variant>
      <vt:variant>
        <vt:i4>9</vt:i4>
      </vt:variant>
      <vt:variant>
        <vt:i4>0</vt:i4>
      </vt:variant>
      <vt:variant>
        <vt:i4>5</vt:i4>
      </vt:variant>
      <vt:variant>
        <vt:lpwstr>https://ddprimarycare.surreyplace.ca/tools-2/general-health/todays-visit/</vt:lpwstr>
      </vt:variant>
      <vt:variant>
        <vt:lpwstr/>
      </vt:variant>
      <vt:variant>
        <vt:i4>1507338</vt:i4>
      </vt:variant>
      <vt:variant>
        <vt:i4>6</vt:i4>
      </vt:variant>
      <vt:variant>
        <vt:i4>0</vt:i4>
      </vt:variant>
      <vt:variant>
        <vt:i4>5</vt:i4>
      </vt:variant>
      <vt:variant>
        <vt:lpwstr>https://ddprimarycare.surreyplace.ca/tools-2/general-health/about-my-health/</vt:lpwstr>
      </vt:variant>
      <vt:variant>
        <vt:lpwstr/>
      </vt:variant>
      <vt:variant>
        <vt:i4>2097202</vt:i4>
      </vt:variant>
      <vt:variant>
        <vt:i4>3</vt:i4>
      </vt:variant>
      <vt:variant>
        <vt:i4>0</vt:i4>
      </vt:variant>
      <vt:variant>
        <vt:i4>5</vt:i4>
      </vt:variant>
      <vt:variant>
        <vt:lpwstr>http://ddprimarycare.surreyplace.ca/wp-content/uploads/2019/08/5.2-My-Healthcare-Visit.pdf</vt:lpwstr>
      </vt:variant>
      <vt:variant>
        <vt:lpwstr/>
      </vt:variant>
      <vt:variant>
        <vt:i4>1507338</vt:i4>
      </vt:variant>
      <vt:variant>
        <vt:i4>0</vt:i4>
      </vt:variant>
      <vt:variant>
        <vt:i4>0</vt:i4>
      </vt:variant>
      <vt:variant>
        <vt:i4>5</vt:i4>
      </vt:variant>
      <vt:variant>
        <vt:lpwstr>https://ddprimarycare.surreyplace.ca/tools-2/general-health/about-my-health/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Ian Casson</dc:creator>
  <cp:keywords/>
  <dc:description/>
  <cp:lastModifiedBy>Eden Biggin</cp:lastModifiedBy>
  <cp:revision>3</cp:revision>
  <cp:lastPrinted>2023-02-08T15:14:00Z</cp:lastPrinted>
  <dcterms:created xsi:type="dcterms:W3CDTF">2023-11-08T14:21:00Z</dcterms:created>
  <dcterms:modified xsi:type="dcterms:W3CDTF">2023-11-08T14:37:00Z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0x01010069EBE4A77E79A84B8B0EB5CDFDBB377A</vt:lpwstr>
  </property>
  <property fmtid="{D5CDD505-2E9C-101B-9397-08002B2CF9AE}" pid="3" name="MediaServiceImageTags">
    <vt:lpwstr/>
  </property>
</Properties>
</file>