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12" w:space="0" w:color="8BAE3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64"/>
        <w:gridCol w:w="2816"/>
      </w:tblGrid>
      <w:tr w:rsidR="00092FC4" w:rsidRPr="003470BA" w14:paraId="3FF0C21A" w14:textId="77777777" w:rsidTr="00C83D5D">
        <w:tc>
          <w:tcPr>
            <w:tcW w:w="7891" w:type="dxa"/>
            <w:tcBorders>
              <w:bottom w:val="single" w:sz="12" w:space="0" w:color="8BAE3D"/>
            </w:tcBorders>
            <w:tcMar>
              <w:left w:w="0" w:type="dxa"/>
              <w:bottom w:w="115" w:type="dxa"/>
              <w:right w:w="115" w:type="dxa"/>
            </w:tcMar>
            <w:vAlign w:val="center"/>
          </w:tcPr>
          <w:p w14:paraId="60572183" w14:textId="79997FC2" w:rsidR="00080F4A" w:rsidRPr="002F75D5" w:rsidRDefault="00D7267F" w:rsidP="00092FC4">
            <w:pPr>
              <w:pStyle w:val="Title"/>
              <w:rPr>
                <w:sz w:val="32"/>
                <w:szCs w:val="32"/>
              </w:rPr>
            </w:pPr>
            <w:bookmarkStart w:id="0" w:name="_Hlk78299183"/>
            <w:r w:rsidRPr="002F75D5">
              <w:rPr>
                <w:sz w:val="32"/>
                <w:szCs w:val="32"/>
              </w:rPr>
              <w:t>Health Check for Adults with Intellectual and Developmental Disabilities - full form</w:t>
            </w:r>
            <w:r w:rsidR="00080F4A" w:rsidRPr="002F75D5">
              <w:rPr>
                <w:rStyle w:val="EndnoteReference"/>
                <w:sz w:val="32"/>
                <w:szCs w:val="32"/>
              </w:rPr>
              <w:endnoteReference w:id="2"/>
            </w:r>
            <w:r w:rsidR="3F288DA3" w:rsidRPr="002F75D5">
              <w:rPr>
                <w:sz w:val="32"/>
                <w:szCs w:val="32"/>
              </w:rPr>
              <w:t xml:space="preserve">     </w:t>
            </w:r>
          </w:p>
        </w:tc>
        <w:tc>
          <w:tcPr>
            <w:tcW w:w="2722" w:type="dxa"/>
            <w:tcMar>
              <w:left w:w="115" w:type="dxa"/>
              <w:bottom w:w="115" w:type="dxa"/>
              <w:right w:w="115" w:type="dxa"/>
            </w:tcMar>
          </w:tcPr>
          <w:p w14:paraId="5F78FF8E" w14:textId="5B5CA2E6" w:rsidR="00080F4A" w:rsidRPr="00C95892" w:rsidRDefault="00E80CB0" w:rsidP="00C83D5D">
            <w:pPr>
              <w:pStyle w:val="NoSpacing"/>
            </w:pPr>
            <w:r>
              <w:rPr>
                <w:noProof/>
              </w:rPr>
              <w:drawing>
                <wp:anchor distT="0" distB="0" distL="114300" distR="114300" simplePos="0" relativeHeight="251659264" behindDoc="0" locked="0" layoutInCell="1" allowOverlap="1" wp14:anchorId="2B20F495" wp14:editId="054D7A08">
                  <wp:simplePos x="0" y="0"/>
                  <wp:positionH relativeFrom="column">
                    <wp:posOffset>356235</wp:posOffset>
                  </wp:positionH>
                  <wp:positionV relativeFrom="paragraph">
                    <wp:posOffset>0</wp:posOffset>
                  </wp:positionV>
                  <wp:extent cx="420097" cy="514350"/>
                  <wp:effectExtent l="0" t="0" r="0" b="0"/>
                  <wp:wrapNone/>
                  <wp:docPr id="3" name="Picture 3" descr="A picture containing text,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ree, out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0097" cy="514350"/>
                          </a:xfrm>
                          <a:prstGeom prst="rect">
                            <a:avLst/>
                          </a:prstGeom>
                        </pic:spPr>
                      </pic:pic>
                    </a:graphicData>
                  </a:graphic>
                </wp:anchor>
              </w:drawing>
            </w:r>
            <w:r>
              <w:rPr>
                <w:noProof/>
              </w:rPr>
              <w:drawing>
                <wp:anchor distT="0" distB="0" distL="114300" distR="114300" simplePos="0" relativeHeight="251658240" behindDoc="0" locked="0" layoutInCell="1" allowOverlap="1" wp14:anchorId="4AF5CFD0" wp14:editId="3EE675C2">
                  <wp:simplePos x="0" y="0"/>
                  <wp:positionH relativeFrom="column">
                    <wp:posOffset>991235</wp:posOffset>
                  </wp:positionH>
                  <wp:positionV relativeFrom="paragraph">
                    <wp:posOffset>-12700</wp:posOffset>
                  </wp:positionV>
                  <wp:extent cx="721360" cy="552450"/>
                  <wp:effectExtent l="0" t="0" r="254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1360" cy="552450"/>
                          </a:xfrm>
                          <a:prstGeom prst="rect">
                            <a:avLst/>
                          </a:prstGeom>
                        </pic:spPr>
                      </pic:pic>
                    </a:graphicData>
                  </a:graphic>
                  <wp14:sizeRelH relativeFrom="margin">
                    <wp14:pctWidth>0</wp14:pctWidth>
                  </wp14:sizeRelH>
                  <wp14:sizeRelV relativeFrom="margin">
                    <wp14:pctHeight>0</wp14:pctHeight>
                  </wp14:sizeRelV>
                </wp:anchor>
              </w:drawing>
            </w:r>
            <w:r>
              <w:t xml:space="preserve">  </w:t>
            </w:r>
          </w:p>
        </w:tc>
      </w:tr>
    </w:tbl>
    <w:p w14:paraId="42D488BF" w14:textId="2CD1D7D4" w:rsidR="0016538B" w:rsidRPr="003470BA" w:rsidRDefault="0016538B" w:rsidP="00BE3ECD">
      <w:pPr>
        <w:pStyle w:val="NoSpacing"/>
      </w:pPr>
    </w:p>
    <w:p w14:paraId="3472185A" w14:textId="53E61AA0" w:rsidR="00766591" w:rsidRPr="003470BA" w:rsidRDefault="00766591" w:rsidP="002D5317">
      <w:pPr>
        <w:pStyle w:val="Heading2"/>
      </w:pPr>
      <w:r w:rsidRPr="003470BA">
        <w:t>Step 1</w:t>
      </w:r>
      <w:r w:rsidR="00D93F0D">
        <w:t>:</w:t>
      </w:r>
      <w:r w:rsidR="003D2260">
        <w:t xml:space="preserve"> </w:t>
      </w:r>
      <w:r w:rsidR="00065AB9" w:rsidRPr="00065AB9">
        <w:rPr>
          <w:rStyle w:val="H2-Subheading"/>
        </w:rPr>
        <w:t>Initial encounter</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single" w:sz="2" w:space="0" w:color="D9D9D9" w:themeColor="background1" w:themeShade="D9"/>
        </w:tblBorders>
        <w:tblLayout w:type="fixed"/>
        <w:tblCellMar>
          <w:top w:w="29" w:type="dxa"/>
          <w:left w:w="144" w:type="dxa"/>
          <w:bottom w:w="29" w:type="dxa"/>
          <w:right w:w="58" w:type="dxa"/>
        </w:tblCellMar>
        <w:tblLook w:val="04A0" w:firstRow="1" w:lastRow="0" w:firstColumn="1" w:lastColumn="0" w:noHBand="0" w:noVBand="1"/>
      </w:tblPr>
      <w:tblGrid>
        <w:gridCol w:w="722"/>
        <w:gridCol w:w="720"/>
        <w:gridCol w:w="4223"/>
        <w:gridCol w:w="5135"/>
      </w:tblGrid>
      <w:tr w:rsidR="008A5940" w:rsidRPr="003470BA" w14:paraId="2C05381F" w14:textId="77777777" w:rsidTr="002C0512">
        <w:trPr>
          <w:trHeight w:val="144"/>
        </w:trPr>
        <w:tc>
          <w:tcPr>
            <w:tcW w:w="722" w:type="dxa"/>
            <w:tcBorders>
              <w:top w:val="single" w:sz="4" w:space="0" w:color="BFBFBF" w:themeColor="background1" w:themeShade="BF"/>
              <w:left w:val="single" w:sz="4" w:space="0" w:color="BFBFBF" w:themeColor="background1" w:themeShade="BF"/>
              <w:bottom w:val="nil"/>
              <w:right w:val="nil"/>
            </w:tcBorders>
            <w:shd w:val="clear" w:color="auto" w:fill="F2F2F2" w:themeFill="background1" w:themeFillShade="F2"/>
            <w:tcMar>
              <w:top w:w="14" w:type="dxa"/>
              <w:left w:w="58" w:type="dxa"/>
              <w:bottom w:w="14" w:type="dxa"/>
              <w:right w:w="58" w:type="dxa"/>
            </w:tcMar>
            <w:vAlign w:val="center"/>
          </w:tcPr>
          <w:p w14:paraId="2A3FB7EC" w14:textId="2B373E48" w:rsidR="008A5940" w:rsidRPr="003470BA" w:rsidRDefault="009A413B" w:rsidP="00E9742C">
            <w:pPr>
              <w:pStyle w:val="H3"/>
              <w:jc w:val="center"/>
            </w:pPr>
            <w:r>
              <w:t>Year 1</w:t>
            </w:r>
          </w:p>
        </w:tc>
        <w:tc>
          <w:tcPr>
            <w:tcW w:w="720" w:type="dxa"/>
            <w:tcBorders>
              <w:top w:val="single" w:sz="4" w:space="0" w:color="BFBFBF" w:themeColor="background1" w:themeShade="BF"/>
              <w:left w:val="nil"/>
              <w:bottom w:val="nil"/>
              <w:right w:val="single" w:sz="4" w:space="0" w:color="BFBFBF" w:themeColor="background1" w:themeShade="BF"/>
            </w:tcBorders>
            <w:tcMar>
              <w:top w:w="14" w:type="dxa"/>
              <w:left w:w="58" w:type="dxa"/>
              <w:bottom w:w="14" w:type="dxa"/>
              <w:right w:w="58" w:type="dxa"/>
            </w:tcMar>
            <w:vAlign w:val="center"/>
          </w:tcPr>
          <w:p w14:paraId="697FA3A9" w14:textId="063E4D35" w:rsidR="008A5940" w:rsidRPr="003470BA" w:rsidRDefault="009A413B" w:rsidP="00E9742C">
            <w:pPr>
              <w:pStyle w:val="H3"/>
              <w:jc w:val="center"/>
            </w:pPr>
            <w:r>
              <w:t>Year 2</w:t>
            </w:r>
          </w:p>
        </w:tc>
        <w:tc>
          <w:tcPr>
            <w:tcW w:w="9358" w:type="dxa"/>
            <w:gridSpan w:val="2"/>
            <w:tcBorders>
              <w:top w:val="nil"/>
              <w:left w:val="single" w:sz="4" w:space="0" w:color="BFBFBF" w:themeColor="background1" w:themeShade="BF"/>
              <w:bottom w:val="single" w:sz="4" w:space="0" w:color="BFBFBF" w:themeColor="background1" w:themeShade="BF"/>
              <w:right w:val="nil"/>
            </w:tcBorders>
            <w:tcMar>
              <w:top w:w="14" w:type="dxa"/>
              <w:left w:w="58" w:type="dxa"/>
              <w:bottom w:w="14" w:type="dxa"/>
              <w:right w:w="58" w:type="dxa"/>
            </w:tcMar>
            <w:vAlign w:val="bottom"/>
          </w:tcPr>
          <w:p w14:paraId="53DEF90D" w14:textId="77777777" w:rsidR="008A5940" w:rsidRPr="003470BA" w:rsidRDefault="008A5940" w:rsidP="00BE3ECD">
            <w:pPr>
              <w:pStyle w:val="NoSpacing"/>
            </w:pPr>
          </w:p>
        </w:tc>
      </w:tr>
      <w:tr w:rsidR="00766591" w:rsidRPr="003470BA" w14:paraId="77EA792D" w14:textId="77777777" w:rsidTr="002C0512">
        <w:trPr>
          <w:trHeight w:val="187"/>
        </w:trPr>
        <w:tc>
          <w:tcPr>
            <w:tcW w:w="722" w:type="dxa"/>
            <w:tcBorders>
              <w:top w:val="nil"/>
              <w:left w:val="single" w:sz="4" w:space="0" w:color="BFBFBF" w:themeColor="background1" w:themeShade="BF"/>
              <w:bottom w:val="single" w:sz="2" w:space="0" w:color="D9D9D9" w:themeColor="background1" w:themeShade="D9"/>
              <w:right w:val="nil"/>
            </w:tcBorders>
            <w:shd w:val="clear" w:color="auto" w:fill="F2F2F2" w:themeFill="background1" w:themeFillShade="F2"/>
            <w:tcMar>
              <w:top w:w="14" w:type="dxa"/>
              <w:left w:w="58" w:type="dxa"/>
              <w:bottom w:w="14" w:type="dxa"/>
              <w:right w:w="58" w:type="dxa"/>
            </w:tcMar>
            <w:vAlign w:val="center"/>
          </w:tcPr>
          <w:p w14:paraId="5F46D347" w14:textId="77777777" w:rsidR="00766591" w:rsidRPr="00A66DEC" w:rsidRDefault="00766591" w:rsidP="00314E04">
            <w:pPr>
              <w:pStyle w:val="TableHeaders"/>
              <w:jc w:val="center"/>
            </w:pPr>
            <w:r w:rsidRPr="00A66DEC">
              <w:t>Done</w:t>
            </w:r>
          </w:p>
        </w:tc>
        <w:tc>
          <w:tcPr>
            <w:tcW w:w="720" w:type="dxa"/>
            <w:tcBorders>
              <w:top w:val="nil"/>
              <w:left w:val="nil"/>
              <w:bottom w:val="single" w:sz="2" w:space="0" w:color="D9D9D9" w:themeColor="background1" w:themeShade="D9"/>
              <w:right w:val="single" w:sz="4" w:space="0" w:color="BFBFBF" w:themeColor="background1" w:themeShade="BF"/>
            </w:tcBorders>
            <w:tcMar>
              <w:top w:w="14" w:type="dxa"/>
              <w:left w:w="58" w:type="dxa"/>
              <w:bottom w:w="14" w:type="dxa"/>
              <w:right w:w="58" w:type="dxa"/>
            </w:tcMar>
            <w:vAlign w:val="center"/>
          </w:tcPr>
          <w:p w14:paraId="3B2438B7" w14:textId="33F64940" w:rsidR="00766591" w:rsidRPr="00A66DEC" w:rsidRDefault="00766591" w:rsidP="00314E04">
            <w:pPr>
              <w:pStyle w:val="TableHeaders"/>
              <w:jc w:val="center"/>
            </w:pPr>
            <w:r w:rsidRPr="00A66DEC">
              <w:t>Done</w:t>
            </w:r>
          </w:p>
        </w:tc>
        <w:tc>
          <w:tcPr>
            <w:tcW w:w="4223" w:type="dxa"/>
            <w:tcBorders>
              <w:top w:val="single" w:sz="4" w:space="0" w:color="BFBFBF" w:themeColor="background1" w:themeShade="BF"/>
              <w:left w:val="single" w:sz="4" w:space="0" w:color="BFBFBF" w:themeColor="background1" w:themeShade="BF"/>
              <w:bottom w:val="single" w:sz="2" w:space="0" w:color="D9D9D9" w:themeColor="background1" w:themeShade="D9"/>
              <w:right w:val="single" w:sz="4" w:space="0" w:color="BFBFBF" w:themeColor="background1" w:themeShade="BF"/>
            </w:tcBorders>
            <w:tcMar>
              <w:top w:w="14" w:type="dxa"/>
              <w:left w:w="58" w:type="dxa"/>
              <w:bottom w:w="14" w:type="dxa"/>
              <w:right w:w="58" w:type="dxa"/>
            </w:tcMar>
            <w:vAlign w:val="center"/>
          </w:tcPr>
          <w:p w14:paraId="77A089DC" w14:textId="6FAD13B7" w:rsidR="00766591" w:rsidRPr="00A66DEC" w:rsidRDefault="00E13C47" w:rsidP="00314E04">
            <w:pPr>
              <w:pStyle w:val="TableHeaders"/>
            </w:pPr>
            <w:r>
              <w:t>Patient Information</w:t>
            </w:r>
          </w:p>
        </w:tc>
        <w:tc>
          <w:tcPr>
            <w:tcW w:w="513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Mar>
              <w:top w:w="14" w:type="dxa"/>
              <w:left w:w="58" w:type="dxa"/>
              <w:bottom w:w="14" w:type="dxa"/>
              <w:right w:w="58" w:type="dxa"/>
            </w:tcMar>
            <w:vAlign w:val="center"/>
          </w:tcPr>
          <w:p w14:paraId="64D5C4C4" w14:textId="77777777" w:rsidR="00766591" w:rsidRPr="00A66DEC" w:rsidRDefault="00766591" w:rsidP="00314E04">
            <w:pPr>
              <w:pStyle w:val="TableHeaders"/>
            </w:pPr>
            <w:r w:rsidRPr="00A66DEC">
              <w:t>Notes</w:t>
            </w:r>
          </w:p>
        </w:tc>
      </w:tr>
      <w:tr w:rsidR="00766591" w:rsidRPr="003470BA" w14:paraId="46617544" w14:textId="77777777" w:rsidTr="002C0512">
        <w:trPr>
          <w:trHeight w:val="144"/>
        </w:trPr>
        <w:tc>
          <w:tcPr>
            <w:tcW w:w="722" w:type="dxa"/>
            <w:tcBorders>
              <w:top w:val="single" w:sz="2" w:space="0" w:color="D9D9D9" w:themeColor="background1" w:themeShade="D9"/>
              <w:left w:val="single" w:sz="4" w:space="0" w:color="BFBFBF" w:themeColor="background1" w:themeShade="BF"/>
              <w:bottom w:val="single" w:sz="2" w:space="0" w:color="D9D9D9" w:themeColor="background1" w:themeShade="D9"/>
              <w:right w:val="nil"/>
            </w:tcBorders>
            <w:shd w:val="clear" w:color="auto" w:fill="F2F2F2" w:themeFill="background1" w:themeFillShade="F2"/>
            <w:tcMar>
              <w:top w:w="14" w:type="dxa"/>
              <w:left w:w="58" w:type="dxa"/>
              <w:bottom w:w="14" w:type="dxa"/>
              <w:right w:w="58" w:type="dxa"/>
            </w:tcMar>
            <w:vAlign w:val="center"/>
          </w:tcPr>
          <w:p w14:paraId="7937BBB7" w14:textId="77777777" w:rsidR="00766591" w:rsidRPr="003470BA" w:rsidRDefault="00766591" w:rsidP="00171C02">
            <w:pPr>
              <w:pStyle w:val="NoSpacing"/>
              <w:jc w:val="center"/>
            </w:pPr>
            <w:r w:rsidRPr="003470BA">
              <w:rPr>
                <w:rFonts w:ascii="Segoe UI Symbol" w:hAnsi="Segoe UI Symbol" w:cs="Segoe UI Symbol"/>
              </w:rPr>
              <w:t>☐</w:t>
            </w:r>
          </w:p>
        </w:tc>
        <w:tc>
          <w:tcPr>
            <w:tcW w:w="720" w:type="dxa"/>
            <w:tcBorders>
              <w:top w:val="single" w:sz="2" w:space="0" w:color="D9D9D9" w:themeColor="background1" w:themeShade="D9"/>
              <w:left w:val="nil"/>
              <w:bottom w:val="single" w:sz="2" w:space="0" w:color="D9D9D9" w:themeColor="background1" w:themeShade="D9"/>
              <w:right w:val="single" w:sz="4" w:space="0" w:color="BFBFBF" w:themeColor="background1" w:themeShade="BF"/>
            </w:tcBorders>
            <w:tcMar>
              <w:top w:w="14" w:type="dxa"/>
              <w:left w:w="58" w:type="dxa"/>
              <w:bottom w:w="14" w:type="dxa"/>
              <w:right w:w="58" w:type="dxa"/>
            </w:tcMar>
            <w:vAlign w:val="center"/>
          </w:tcPr>
          <w:p w14:paraId="6A294BCC" w14:textId="77777777" w:rsidR="00766591" w:rsidRPr="003470BA" w:rsidRDefault="00766591" w:rsidP="00171C02">
            <w:pPr>
              <w:pStyle w:val="NoSpacing"/>
              <w:jc w:val="center"/>
            </w:pPr>
            <w:r w:rsidRPr="003470BA">
              <w:rPr>
                <w:rFonts w:ascii="Segoe UI Symbol" w:hAnsi="Segoe UI Symbol" w:cs="Segoe UI Symbol"/>
              </w:rPr>
              <w:t>☐</w:t>
            </w:r>
          </w:p>
        </w:tc>
        <w:tc>
          <w:tcPr>
            <w:tcW w:w="4223"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4" w:space="0" w:color="BFBFBF" w:themeColor="background1" w:themeShade="BF"/>
            </w:tcBorders>
            <w:tcMar>
              <w:top w:w="14" w:type="dxa"/>
              <w:left w:w="58" w:type="dxa"/>
              <w:bottom w:w="14" w:type="dxa"/>
              <w:right w:w="58" w:type="dxa"/>
            </w:tcMar>
            <w:vAlign w:val="center"/>
          </w:tcPr>
          <w:p w14:paraId="4D4DB5BD" w14:textId="587A0085" w:rsidR="00766591" w:rsidRPr="003470BA" w:rsidRDefault="00766591" w:rsidP="00BE3ECD">
            <w:pPr>
              <w:pStyle w:val="NoSpacing"/>
              <w:rPr>
                <w:rFonts w:cs="Segoe UI Symbol"/>
              </w:rPr>
            </w:pPr>
            <w:r w:rsidRPr="003470BA">
              <w:t xml:space="preserve">Identify/address patient’s </w:t>
            </w:r>
            <w:r w:rsidR="00273A1C">
              <w:t xml:space="preserve">current/urgent </w:t>
            </w:r>
            <w:r w:rsidRPr="003470BA">
              <w:t>concerns</w:t>
            </w:r>
          </w:p>
        </w:tc>
        <w:tc>
          <w:tcPr>
            <w:tcW w:w="5135" w:type="dxa"/>
            <w:vMerge w:val="restar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Mar>
              <w:top w:w="14" w:type="dxa"/>
              <w:left w:w="58" w:type="dxa"/>
              <w:bottom w:w="14" w:type="dxa"/>
              <w:right w:w="58" w:type="dxa"/>
            </w:tcMar>
          </w:tcPr>
          <w:p w14:paraId="03394039" w14:textId="77777777" w:rsidR="00766591" w:rsidRPr="003470BA" w:rsidRDefault="00766591" w:rsidP="00BE3ECD">
            <w:pPr>
              <w:pStyle w:val="NoSpacing"/>
            </w:pPr>
          </w:p>
        </w:tc>
      </w:tr>
      <w:tr w:rsidR="00766591" w:rsidRPr="003470BA" w14:paraId="3A4CB75D" w14:textId="77777777" w:rsidTr="002C0512">
        <w:trPr>
          <w:trHeight w:val="144"/>
        </w:trPr>
        <w:tc>
          <w:tcPr>
            <w:tcW w:w="722" w:type="dxa"/>
            <w:tcBorders>
              <w:top w:val="single" w:sz="2" w:space="0" w:color="D9D9D9" w:themeColor="background1" w:themeShade="D9"/>
              <w:left w:val="single" w:sz="4" w:space="0" w:color="BFBFBF" w:themeColor="background1" w:themeShade="BF"/>
              <w:bottom w:val="single" w:sz="4" w:space="0" w:color="BFBFBF" w:themeColor="background1" w:themeShade="BF"/>
              <w:right w:val="nil"/>
            </w:tcBorders>
            <w:shd w:val="clear" w:color="auto" w:fill="F2F2F2" w:themeFill="background1" w:themeFillShade="F2"/>
            <w:tcMar>
              <w:top w:w="14" w:type="dxa"/>
              <w:left w:w="58" w:type="dxa"/>
              <w:bottom w:w="14" w:type="dxa"/>
              <w:right w:w="58" w:type="dxa"/>
            </w:tcMar>
            <w:vAlign w:val="center"/>
          </w:tcPr>
          <w:p w14:paraId="04678F9D" w14:textId="77777777" w:rsidR="00766591" w:rsidRPr="003470BA" w:rsidRDefault="00766591" w:rsidP="00171C02">
            <w:pPr>
              <w:pStyle w:val="NoSpacing"/>
              <w:jc w:val="center"/>
            </w:pPr>
            <w:r w:rsidRPr="003470BA">
              <w:rPr>
                <w:rFonts w:ascii="Segoe UI Symbol" w:hAnsi="Segoe UI Symbol" w:cs="Segoe UI Symbol"/>
              </w:rPr>
              <w:t>☐</w:t>
            </w:r>
          </w:p>
        </w:tc>
        <w:tc>
          <w:tcPr>
            <w:tcW w:w="720" w:type="dxa"/>
            <w:tcBorders>
              <w:top w:val="single" w:sz="2" w:space="0" w:color="D9D9D9" w:themeColor="background1" w:themeShade="D9"/>
              <w:left w:val="nil"/>
              <w:bottom w:val="single" w:sz="4" w:space="0" w:color="BFBFBF" w:themeColor="background1" w:themeShade="BF"/>
              <w:right w:val="single" w:sz="4" w:space="0" w:color="BFBFBF" w:themeColor="background1" w:themeShade="BF"/>
            </w:tcBorders>
            <w:tcMar>
              <w:top w:w="14" w:type="dxa"/>
              <w:left w:w="58" w:type="dxa"/>
              <w:bottom w:w="14" w:type="dxa"/>
              <w:right w:w="58" w:type="dxa"/>
            </w:tcMar>
            <w:vAlign w:val="center"/>
          </w:tcPr>
          <w:p w14:paraId="13FD3F46" w14:textId="77777777" w:rsidR="00766591" w:rsidRPr="003470BA" w:rsidRDefault="00766591" w:rsidP="00171C02">
            <w:pPr>
              <w:pStyle w:val="NoSpacing"/>
              <w:jc w:val="center"/>
            </w:pPr>
            <w:r w:rsidRPr="003470BA">
              <w:rPr>
                <w:rFonts w:ascii="Segoe UI Symbol" w:hAnsi="Segoe UI Symbol" w:cs="Segoe UI Symbol"/>
              </w:rPr>
              <w:t>☐</w:t>
            </w:r>
          </w:p>
        </w:tc>
        <w:tc>
          <w:tcPr>
            <w:tcW w:w="4223" w:type="dxa"/>
            <w:tcBorders>
              <w:top w:val="single" w:sz="2"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tcMar>
              <w:top w:w="14" w:type="dxa"/>
              <w:left w:w="58" w:type="dxa"/>
              <w:bottom w:w="14" w:type="dxa"/>
              <w:right w:w="58" w:type="dxa"/>
            </w:tcMar>
            <w:vAlign w:val="center"/>
          </w:tcPr>
          <w:p w14:paraId="75710D9C" w14:textId="38D09631" w:rsidR="00766591" w:rsidRPr="003470BA" w:rsidRDefault="00766591" w:rsidP="00BE3ECD">
            <w:pPr>
              <w:pStyle w:val="NoSpacing"/>
            </w:pPr>
            <w:r w:rsidRPr="003470BA">
              <w:t>Introduce questionnaires</w:t>
            </w:r>
            <w:r w:rsidRPr="003470BA">
              <w:rPr>
                <w:rStyle w:val="EndnoteReference"/>
              </w:rPr>
              <w:endnoteReference w:id="3"/>
            </w:r>
          </w:p>
        </w:tc>
        <w:tc>
          <w:tcPr>
            <w:tcW w:w="51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4" w:type="dxa"/>
              <w:left w:w="58" w:type="dxa"/>
              <w:bottom w:w="14" w:type="dxa"/>
              <w:right w:w="58" w:type="dxa"/>
            </w:tcMar>
          </w:tcPr>
          <w:p w14:paraId="0D2407D2" w14:textId="77777777" w:rsidR="00766591" w:rsidRPr="003470BA" w:rsidRDefault="00766591" w:rsidP="00BE3ECD">
            <w:pPr>
              <w:pStyle w:val="NoSpacing"/>
            </w:pPr>
          </w:p>
        </w:tc>
      </w:tr>
    </w:tbl>
    <w:p w14:paraId="521F0DA5" w14:textId="078EB0AE" w:rsidR="007B3962" w:rsidRPr="008656D7" w:rsidRDefault="007B3962" w:rsidP="002D5317">
      <w:pPr>
        <w:pStyle w:val="H2"/>
        <w:rPr>
          <w:rStyle w:val="H2-Subheading"/>
          <w:b w:val="0"/>
          <w:bCs w:val="0"/>
        </w:rPr>
      </w:pPr>
      <w:r w:rsidRPr="009979B4">
        <w:t>Step 2</w:t>
      </w:r>
      <w:r w:rsidR="008656D7">
        <w:t xml:space="preserve">: </w:t>
      </w:r>
      <w:r w:rsidR="005D10B3" w:rsidRPr="005D10B3">
        <w:rPr>
          <w:rStyle w:val="H2-Subheading"/>
          <w:b w:val="0"/>
          <w:bCs w:val="0"/>
        </w:rPr>
        <w:t>IDD-relevant Cumulative Patient Profile</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single" w:sz="2" w:space="0" w:color="D9D9D9" w:themeColor="background1" w:themeShade="D9"/>
        </w:tblBorders>
        <w:tblLayout w:type="fixed"/>
        <w:tblCellMar>
          <w:top w:w="14" w:type="dxa"/>
          <w:left w:w="144" w:type="dxa"/>
          <w:bottom w:w="14" w:type="dxa"/>
          <w:right w:w="58" w:type="dxa"/>
        </w:tblCellMar>
        <w:tblLook w:val="04A0" w:firstRow="1" w:lastRow="0" w:firstColumn="1" w:lastColumn="0" w:noHBand="0" w:noVBand="1"/>
      </w:tblPr>
      <w:tblGrid>
        <w:gridCol w:w="714"/>
        <w:gridCol w:w="714"/>
        <w:gridCol w:w="4278"/>
        <w:gridCol w:w="5080"/>
        <w:gridCol w:w="9"/>
      </w:tblGrid>
      <w:tr w:rsidR="008A5940" w:rsidRPr="003470BA" w14:paraId="53388F38" w14:textId="77777777" w:rsidTr="0057474E">
        <w:trPr>
          <w:trHeight w:val="288"/>
        </w:trPr>
        <w:tc>
          <w:tcPr>
            <w:tcW w:w="714" w:type="dxa"/>
            <w:tcBorders>
              <w:top w:val="single" w:sz="4" w:space="0" w:color="BFBFBF" w:themeColor="background1" w:themeShade="BF"/>
              <w:left w:val="single" w:sz="4" w:space="0" w:color="BFBFBF" w:themeColor="background1" w:themeShade="BF"/>
              <w:bottom w:val="nil"/>
              <w:right w:val="nil"/>
            </w:tcBorders>
            <w:shd w:val="clear" w:color="auto" w:fill="F2F2F2" w:themeFill="background1" w:themeFillShade="F2"/>
            <w:tcMar>
              <w:top w:w="14" w:type="dxa"/>
              <w:left w:w="43" w:type="dxa"/>
              <w:bottom w:w="14" w:type="dxa"/>
              <w:right w:w="43" w:type="dxa"/>
            </w:tcMar>
            <w:vAlign w:val="center"/>
          </w:tcPr>
          <w:p w14:paraId="297759F9" w14:textId="0B327F87" w:rsidR="008A5940" w:rsidRPr="003470BA" w:rsidRDefault="009A413B" w:rsidP="00171C02">
            <w:pPr>
              <w:pStyle w:val="H3"/>
              <w:jc w:val="center"/>
            </w:pPr>
            <w:r>
              <w:t>Year 1</w:t>
            </w:r>
          </w:p>
        </w:tc>
        <w:tc>
          <w:tcPr>
            <w:tcW w:w="714" w:type="dxa"/>
            <w:tcBorders>
              <w:top w:val="single" w:sz="4" w:space="0" w:color="BFBFBF" w:themeColor="background1" w:themeShade="BF"/>
              <w:left w:val="nil"/>
              <w:bottom w:val="nil"/>
              <w:right w:val="single" w:sz="4" w:space="0" w:color="BFBFBF" w:themeColor="background1" w:themeShade="BF"/>
            </w:tcBorders>
            <w:tcMar>
              <w:top w:w="14" w:type="dxa"/>
              <w:left w:w="58" w:type="dxa"/>
              <w:bottom w:w="14" w:type="dxa"/>
              <w:right w:w="58" w:type="dxa"/>
            </w:tcMar>
            <w:vAlign w:val="center"/>
          </w:tcPr>
          <w:p w14:paraId="62C35E67" w14:textId="08D18A2A" w:rsidR="008A5940" w:rsidRPr="003470BA" w:rsidRDefault="009A413B" w:rsidP="00171C02">
            <w:pPr>
              <w:pStyle w:val="H3"/>
              <w:jc w:val="center"/>
            </w:pPr>
            <w:r>
              <w:t>Year 2</w:t>
            </w:r>
          </w:p>
        </w:tc>
        <w:tc>
          <w:tcPr>
            <w:tcW w:w="9367" w:type="dxa"/>
            <w:gridSpan w:val="3"/>
            <w:tcBorders>
              <w:top w:val="nil"/>
              <w:left w:val="single" w:sz="4" w:space="0" w:color="BFBFBF" w:themeColor="background1" w:themeShade="BF"/>
              <w:bottom w:val="single" w:sz="4" w:space="0" w:color="BFBFBF" w:themeColor="background1" w:themeShade="BF"/>
              <w:right w:val="nil"/>
            </w:tcBorders>
            <w:tcMar>
              <w:top w:w="14" w:type="dxa"/>
              <w:left w:w="58" w:type="dxa"/>
              <w:bottom w:w="14" w:type="dxa"/>
            </w:tcMar>
            <w:vAlign w:val="center"/>
          </w:tcPr>
          <w:p w14:paraId="1143058C" w14:textId="77777777" w:rsidR="008A5940" w:rsidRPr="003470BA" w:rsidRDefault="008A5940" w:rsidP="00BE3ECD">
            <w:pPr>
              <w:pStyle w:val="NoSpacing"/>
            </w:pPr>
          </w:p>
        </w:tc>
      </w:tr>
      <w:tr w:rsidR="007B3962" w:rsidRPr="003470BA" w14:paraId="6FA23822" w14:textId="77777777" w:rsidTr="00AB0342">
        <w:trPr>
          <w:gridAfter w:val="1"/>
          <w:wAfter w:w="9" w:type="dxa"/>
          <w:trHeight w:val="187"/>
        </w:trPr>
        <w:tc>
          <w:tcPr>
            <w:tcW w:w="714" w:type="dxa"/>
            <w:tcBorders>
              <w:top w:val="nil"/>
              <w:left w:val="single" w:sz="4" w:space="0" w:color="BFBFBF" w:themeColor="background1" w:themeShade="BF"/>
              <w:bottom w:val="single" w:sz="2" w:space="0" w:color="D9D9D9" w:themeColor="background1" w:themeShade="D9"/>
              <w:right w:val="nil"/>
            </w:tcBorders>
            <w:shd w:val="clear" w:color="auto" w:fill="F2F2F2" w:themeFill="background1" w:themeFillShade="F2"/>
            <w:tcMar>
              <w:top w:w="14" w:type="dxa"/>
              <w:left w:w="43" w:type="dxa"/>
              <w:bottom w:w="14" w:type="dxa"/>
              <w:right w:w="43" w:type="dxa"/>
            </w:tcMar>
            <w:vAlign w:val="bottom"/>
          </w:tcPr>
          <w:p w14:paraId="3BDB3C7F" w14:textId="65E045B8" w:rsidR="007B3962" w:rsidRPr="003470BA" w:rsidRDefault="00766591" w:rsidP="00AB0342">
            <w:pPr>
              <w:pStyle w:val="TableHeaders"/>
            </w:pPr>
            <w:r w:rsidRPr="003470BA">
              <w:t>Reviewed</w:t>
            </w:r>
          </w:p>
        </w:tc>
        <w:tc>
          <w:tcPr>
            <w:tcW w:w="714" w:type="dxa"/>
            <w:tcBorders>
              <w:top w:val="nil"/>
              <w:left w:val="nil"/>
              <w:bottom w:val="single" w:sz="2" w:space="0" w:color="D9D9D9" w:themeColor="background1" w:themeShade="D9"/>
              <w:right w:val="dotted" w:sz="8" w:space="0" w:color="BFBFBF" w:themeColor="background1" w:themeShade="BF"/>
            </w:tcBorders>
            <w:tcMar>
              <w:top w:w="14" w:type="dxa"/>
              <w:left w:w="58" w:type="dxa"/>
              <w:bottom w:w="14" w:type="dxa"/>
              <w:right w:w="58" w:type="dxa"/>
            </w:tcMar>
            <w:vAlign w:val="center"/>
          </w:tcPr>
          <w:p w14:paraId="64ACB637" w14:textId="2703B264" w:rsidR="007B3962" w:rsidRPr="003470BA" w:rsidRDefault="00766591" w:rsidP="00314E04">
            <w:pPr>
              <w:pStyle w:val="TableHeaders"/>
              <w:jc w:val="center"/>
            </w:pPr>
            <w:r w:rsidRPr="003470BA">
              <w:t>Reviewed</w:t>
            </w:r>
          </w:p>
        </w:tc>
        <w:tc>
          <w:tcPr>
            <w:tcW w:w="4278" w:type="dxa"/>
            <w:tcBorders>
              <w:top w:val="single" w:sz="4" w:space="0" w:color="BFBFBF" w:themeColor="background1" w:themeShade="BF"/>
              <w:left w:val="dotted" w:sz="8" w:space="0" w:color="BFBFBF" w:themeColor="background1" w:themeShade="BF"/>
              <w:bottom w:val="single" w:sz="2" w:space="0" w:color="D9D9D9" w:themeColor="background1" w:themeShade="D9"/>
              <w:right w:val="single" w:sz="4" w:space="0" w:color="BFBFBF" w:themeColor="background1" w:themeShade="BF"/>
            </w:tcBorders>
            <w:tcMar>
              <w:top w:w="14" w:type="dxa"/>
              <w:left w:w="58" w:type="dxa"/>
              <w:bottom w:w="14" w:type="dxa"/>
            </w:tcMar>
            <w:vAlign w:val="center"/>
          </w:tcPr>
          <w:p w14:paraId="746F540D" w14:textId="72A3C0EC" w:rsidR="007B3962" w:rsidRPr="003470BA" w:rsidRDefault="000D3302" w:rsidP="00314E04">
            <w:pPr>
              <w:pStyle w:val="TableHeaders"/>
            </w:pPr>
            <w:r>
              <w:t>Patient Profile</w:t>
            </w:r>
          </w:p>
        </w:tc>
        <w:tc>
          <w:tcPr>
            <w:tcW w:w="508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Mar>
              <w:top w:w="14" w:type="dxa"/>
              <w:left w:w="58" w:type="dxa"/>
              <w:bottom w:w="14" w:type="dxa"/>
            </w:tcMar>
            <w:vAlign w:val="center"/>
          </w:tcPr>
          <w:p w14:paraId="50D75344" w14:textId="21EBD316" w:rsidR="007B3962" w:rsidRPr="003470BA" w:rsidRDefault="007B3962" w:rsidP="00314E04">
            <w:pPr>
              <w:pStyle w:val="TableHeaders"/>
            </w:pPr>
            <w:r w:rsidRPr="003470BA">
              <w:t>Notes</w:t>
            </w:r>
          </w:p>
        </w:tc>
      </w:tr>
      <w:tr w:rsidR="005D10B3" w:rsidRPr="003470BA" w14:paraId="341F86DD" w14:textId="77777777" w:rsidTr="0057474E">
        <w:trPr>
          <w:gridAfter w:val="1"/>
          <w:wAfter w:w="9" w:type="dxa"/>
          <w:trHeight w:val="144"/>
        </w:trPr>
        <w:tc>
          <w:tcPr>
            <w:tcW w:w="714" w:type="dxa"/>
            <w:tcBorders>
              <w:top w:val="single" w:sz="2" w:space="0" w:color="D9D9D9" w:themeColor="background1" w:themeShade="D9"/>
              <w:left w:val="single" w:sz="4" w:space="0" w:color="BFBFBF" w:themeColor="background1" w:themeShade="BF"/>
              <w:bottom w:val="single" w:sz="2" w:space="0" w:color="D9D9D9" w:themeColor="background1" w:themeShade="D9"/>
              <w:right w:val="nil"/>
            </w:tcBorders>
            <w:shd w:val="clear" w:color="auto" w:fill="F2F2F2" w:themeFill="background1" w:themeFillShade="F2"/>
            <w:tcMar>
              <w:top w:w="14" w:type="dxa"/>
              <w:left w:w="43" w:type="dxa"/>
              <w:bottom w:w="14" w:type="dxa"/>
              <w:right w:w="43" w:type="dxa"/>
            </w:tcMar>
            <w:vAlign w:val="center"/>
          </w:tcPr>
          <w:p w14:paraId="3D5067CA" w14:textId="77777777" w:rsidR="005D10B3" w:rsidRPr="003470BA" w:rsidRDefault="005D10B3" w:rsidP="00171C02">
            <w:pPr>
              <w:pStyle w:val="NoSpacing"/>
              <w:jc w:val="center"/>
            </w:pPr>
            <w:r w:rsidRPr="003470BA">
              <w:rPr>
                <w:rFonts w:ascii="Segoe UI Symbol" w:hAnsi="Segoe UI Symbol" w:cs="Segoe UI Symbol"/>
              </w:rPr>
              <w:t>☐</w:t>
            </w:r>
          </w:p>
        </w:tc>
        <w:tc>
          <w:tcPr>
            <w:tcW w:w="714" w:type="dxa"/>
            <w:tcBorders>
              <w:top w:val="single" w:sz="2" w:space="0" w:color="D9D9D9" w:themeColor="background1" w:themeShade="D9"/>
              <w:left w:val="nil"/>
              <w:bottom w:val="single" w:sz="2" w:space="0" w:color="D9D9D9" w:themeColor="background1" w:themeShade="D9"/>
              <w:right w:val="dotted" w:sz="8" w:space="0" w:color="BFBFBF" w:themeColor="background1" w:themeShade="BF"/>
            </w:tcBorders>
            <w:tcMar>
              <w:top w:w="14" w:type="dxa"/>
              <w:left w:w="58" w:type="dxa"/>
              <w:bottom w:w="14" w:type="dxa"/>
              <w:right w:w="58" w:type="dxa"/>
            </w:tcMar>
            <w:vAlign w:val="center"/>
          </w:tcPr>
          <w:p w14:paraId="50AA788A" w14:textId="77777777" w:rsidR="005D10B3" w:rsidRPr="003470BA" w:rsidRDefault="005D10B3" w:rsidP="00171C02">
            <w:pPr>
              <w:pStyle w:val="NoSpacing"/>
              <w:jc w:val="center"/>
            </w:pPr>
            <w:r w:rsidRPr="003470BA">
              <w:rPr>
                <w:rFonts w:ascii="Segoe UI Symbol" w:hAnsi="Segoe UI Symbol" w:cs="Segoe UI Symbol"/>
              </w:rPr>
              <w:t>☐</w:t>
            </w:r>
          </w:p>
        </w:tc>
        <w:tc>
          <w:tcPr>
            <w:tcW w:w="4278" w:type="dxa"/>
            <w:tcBorders>
              <w:top w:val="single" w:sz="2" w:space="0" w:color="D9D9D9" w:themeColor="background1" w:themeShade="D9"/>
              <w:left w:val="dotted" w:sz="8" w:space="0" w:color="BFBFBF" w:themeColor="background1" w:themeShade="BF"/>
              <w:bottom w:val="single" w:sz="2" w:space="0" w:color="D9D9D9" w:themeColor="background1" w:themeShade="D9"/>
              <w:right w:val="single" w:sz="4" w:space="0" w:color="BFBFBF" w:themeColor="background1" w:themeShade="BF"/>
            </w:tcBorders>
            <w:tcMar>
              <w:top w:w="14" w:type="dxa"/>
              <w:left w:w="58" w:type="dxa"/>
              <w:bottom w:w="14" w:type="dxa"/>
            </w:tcMar>
            <w:vAlign w:val="center"/>
          </w:tcPr>
          <w:p w14:paraId="36DF1CE7" w14:textId="0130C26B" w:rsidR="005D10B3" w:rsidRPr="003470BA" w:rsidRDefault="005D10B3" w:rsidP="00BE3ECD">
            <w:pPr>
              <w:pStyle w:val="NoSpacing"/>
              <w:rPr>
                <w:rFonts w:cs="Segoe UI Symbol"/>
              </w:rPr>
            </w:pPr>
            <w:r w:rsidRPr="003470BA">
              <w:t>Communication, daily living</w:t>
            </w:r>
            <w:r w:rsidRPr="003470BA">
              <w:rPr>
                <w:rStyle w:val="EndnoteReference"/>
              </w:rPr>
              <w:endnoteReference w:id="4"/>
            </w:r>
            <w:r w:rsidRPr="003470BA">
              <w:t xml:space="preserve"> </w:t>
            </w:r>
          </w:p>
        </w:tc>
        <w:tc>
          <w:tcPr>
            <w:tcW w:w="5080" w:type="dxa"/>
            <w:vMerge w:val="restart"/>
            <w:tcBorders>
              <w:top w:val="nil"/>
              <w:left w:val="single" w:sz="4" w:space="0" w:color="BFBFBF" w:themeColor="background1" w:themeShade="BF"/>
              <w:right w:val="single" w:sz="4" w:space="0" w:color="BFBFBF" w:themeColor="background1" w:themeShade="BF"/>
            </w:tcBorders>
            <w:tcMar>
              <w:top w:w="14" w:type="dxa"/>
              <w:left w:w="58" w:type="dxa"/>
              <w:bottom w:w="14" w:type="dxa"/>
            </w:tcMar>
          </w:tcPr>
          <w:p w14:paraId="28648A6F" w14:textId="77777777" w:rsidR="005D10B3" w:rsidRPr="003470BA" w:rsidRDefault="005D10B3" w:rsidP="00BE3ECD">
            <w:pPr>
              <w:pStyle w:val="NoSpacing"/>
            </w:pPr>
          </w:p>
        </w:tc>
      </w:tr>
      <w:tr w:rsidR="005D10B3" w:rsidRPr="003470BA" w14:paraId="191C69B1" w14:textId="77777777" w:rsidTr="0057474E">
        <w:trPr>
          <w:gridAfter w:val="1"/>
          <w:wAfter w:w="9" w:type="dxa"/>
          <w:trHeight w:val="144"/>
        </w:trPr>
        <w:tc>
          <w:tcPr>
            <w:tcW w:w="714" w:type="dxa"/>
            <w:tcBorders>
              <w:top w:val="single" w:sz="2" w:space="0" w:color="D9D9D9" w:themeColor="background1" w:themeShade="D9"/>
              <w:left w:val="single" w:sz="4" w:space="0" w:color="BFBFBF" w:themeColor="background1" w:themeShade="BF"/>
              <w:bottom w:val="single" w:sz="2" w:space="0" w:color="D9D9D9" w:themeColor="background1" w:themeShade="D9"/>
              <w:right w:val="nil"/>
            </w:tcBorders>
            <w:shd w:val="clear" w:color="auto" w:fill="F2F2F2" w:themeFill="background1" w:themeFillShade="F2"/>
            <w:tcMar>
              <w:top w:w="14" w:type="dxa"/>
              <w:left w:w="43" w:type="dxa"/>
              <w:bottom w:w="14" w:type="dxa"/>
              <w:right w:w="43" w:type="dxa"/>
            </w:tcMar>
            <w:vAlign w:val="center"/>
          </w:tcPr>
          <w:p w14:paraId="1205D885" w14:textId="613383F2" w:rsidR="005D10B3" w:rsidRPr="003470BA" w:rsidRDefault="005D10B3" w:rsidP="00171C02">
            <w:pPr>
              <w:pStyle w:val="NoSpacing"/>
              <w:jc w:val="center"/>
            </w:pPr>
            <w:r w:rsidRPr="003470BA">
              <w:rPr>
                <w:rFonts w:ascii="Segoe UI Symbol" w:hAnsi="Segoe UI Symbol" w:cs="Segoe UI Symbol"/>
              </w:rPr>
              <w:t>☐</w:t>
            </w:r>
          </w:p>
        </w:tc>
        <w:tc>
          <w:tcPr>
            <w:tcW w:w="714" w:type="dxa"/>
            <w:tcBorders>
              <w:top w:val="single" w:sz="2" w:space="0" w:color="D9D9D9" w:themeColor="background1" w:themeShade="D9"/>
              <w:left w:val="nil"/>
              <w:bottom w:val="single" w:sz="2" w:space="0" w:color="D9D9D9" w:themeColor="background1" w:themeShade="D9"/>
              <w:right w:val="dotted" w:sz="8" w:space="0" w:color="BFBFBF" w:themeColor="background1" w:themeShade="BF"/>
            </w:tcBorders>
            <w:tcMar>
              <w:top w:w="14" w:type="dxa"/>
              <w:left w:w="58" w:type="dxa"/>
              <w:bottom w:w="14" w:type="dxa"/>
              <w:right w:w="58" w:type="dxa"/>
            </w:tcMar>
            <w:vAlign w:val="center"/>
          </w:tcPr>
          <w:p w14:paraId="055015C0" w14:textId="1059CB76" w:rsidR="005D10B3" w:rsidRPr="003470BA" w:rsidRDefault="005D10B3" w:rsidP="00171C02">
            <w:pPr>
              <w:pStyle w:val="NoSpacing"/>
              <w:jc w:val="center"/>
            </w:pPr>
            <w:r w:rsidRPr="003470BA">
              <w:rPr>
                <w:rFonts w:ascii="Segoe UI Symbol" w:hAnsi="Segoe UI Symbol" w:cs="Segoe UI Symbol"/>
              </w:rPr>
              <w:t>☐</w:t>
            </w:r>
          </w:p>
        </w:tc>
        <w:tc>
          <w:tcPr>
            <w:tcW w:w="4278" w:type="dxa"/>
            <w:tcBorders>
              <w:top w:val="single" w:sz="2" w:space="0" w:color="D9D9D9" w:themeColor="background1" w:themeShade="D9"/>
              <w:left w:val="dotted" w:sz="8" w:space="0" w:color="BFBFBF" w:themeColor="background1" w:themeShade="BF"/>
              <w:bottom w:val="single" w:sz="2" w:space="0" w:color="D9D9D9" w:themeColor="background1" w:themeShade="D9"/>
              <w:right w:val="single" w:sz="4" w:space="0" w:color="BFBFBF" w:themeColor="background1" w:themeShade="BF"/>
            </w:tcBorders>
            <w:tcMar>
              <w:top w:w="14" w:type="dxa"/>
              <w:left w:w="58" w:type="dxa"/>
              <w:bottom w:w="14" w:type="dxa"/>
            </w:tcMar>
            <w:vAlign w:val="center"/>
          </w:tcPr>
          <w:p w14:paraId="6C5F1966" w14:textId="6C918DC3" w:rsidR="005D10B3" w:rsidRPr="003470BA" w:rsidRDefault="005D10B3" w:rsidP="00BE3ECD">
            <w:pPr>
              <w:pStyle w:val="NoSpacing"/>
            </w:pPr>
            <w:r w:rsidRPr="003470BA">
              <w:t>Cause/associated condition for ID</w:t>
            </w:r>
            <w:r w:rsidRPr="003470BA">
              <w:rPr>
                <w:rStyle w:val="EndnoteReference"/>
              </w:rPr>
              <w:endnoteReference w:id="5"/>
            </w:r>
          </w:p>
        </w:tc>
        <w:tc>
          <w:tcPr>
            <w:tcW w:w="5080" w:type="dxa"/>
            <w:vMerge/>
            <w:tcBorders>
              <w:left w:val="single" w:sz="4" w:space="0" w:color="BFBFBF" w:themeColor="background1" w:themeShade="BF"/>
              <w:right w:val="single" w:sz="4" w:space="0" w:color="BFBFBF" w:themeColor="background1" w:themeShade="BF"/>
            </w:tcBorders>
            <w:tcMar>
              <w:top w:w="14" w:type="dxa"/>
              <w:left w:w="58" w:type="dxa"/>
              <w:bottom w:w="14" w:type="dxa"/>
            </w:tcMar>
          </w:tcPr>
          <w:p w14:paraId="175E562B" w14:textId="77777777" w:rsidR="005D10B3" w:rsidRPr="003470BA" w:rsidRDefault="005D10B3" w:rsidP="00BE3ECD">
            <w:pPr>
              <w:pStyle w:val="NoSpacing"/>
            </w:pPr>
          </w:p>
        </w:tc>
      </w:tr>
      <w:tr w:rsidR="005D10B3" w:rsidRPr="003470BA" w14:paraId="1CD46DA8" w14:textId="77777777" w:rsidTr="0057474E">
        <w:trPr>
          <w:gridAfter w:val="1"/>
          <w:wAfter w:w="9" w:type="dxa"/>
          <w:trHeight w:val="144"/>
        </w:trPr>
        <w:tc>
          <w:tcPr>
            <w:tcW w:w="714" w:type="dxa"/>
            <w:tcBorders>
              <w:top w:val="single" w:sz="2" w:space="0" w:color="D9D9D9" w:themeColor="background1" w:themeShade="D9"/>
              <w:left w:val="single" w:sz="4" w:space="0" w:color="BFBFBF" w:themeColor="background1" w:themeShade="BF"/>
              <w:bottom w:val="single" w:sz="2" w:space="0" w:color="D9D9D9" w:themeColor="background1" w:themeShade="D9"/>
              <w:right w:val="nil"/>
            </w:tcBorders>
            <w:shd w:val="clear" w:color="auto" w:fill="F2F2F2" w:themeFill="background1" w:themeFillShade="F2"/>
            <w:tcMar>
              <w:top w:w="14" w:type="dxa"/>
              <w:left w:w="43" w:type="dxa"/>
              <w:bottom w:w="14" w:type="dxa"/>
              <w:right w:w="43" w:type="dxa"/>
            </w:tcMar>
            <w:vAlign w:val="center"/>
          </w:tcPr>
          <w:p w14:paraId="7AD578CE" w14:textId="5FDF1A99" w:rsidR="005D10B3" w:rsidRPr="003470BA" w:rsidRDefault="005D10B3" w:rsidP="00171C02">
            <w:pPr>
              <w:pStyle w:val="NoSpacing"/>
              <w:jc w:val="center"/>
            </w:pPr>
            <w:r w:rsidRPr="003470BA">
              <w:rPr>
                <w:rFonts w:ascii="Segoe UI Symbol" w:hAnsi="Segoe UI Symbol" w:cs="Segoe UI Symbol"/>
              </w:rPr>
              <w:t>☐</w:t>
            </w:r>
          </w:p>
        </w:tc>
        <w:tc>
          <w:tcPr>
            <w:tcW w:w="714" w:type="dxa"/>
            <w:tcBorders>
              <w:top w:val="single" w:sz="2" w:space="0" w:color="D9D9D9" w:themeColor="background1" w:themeShade="D9"/>
              <w:left w:val="nil"/>
              <w:bottom w:val="single" w:sz="2" w:space="0" w:color="D9D9D9" w:themeColor="background1" w:themeShade="D9"/>
              <w:right w:val="dotted" w:sz="8" w:space="0" w:color="BFBFBF" w:themeColor="background1" w:themeShade="BF"/>
            </w:tcBorders>
            <w:tcMar>
              <w:top w:w="14" w:type="dxa"/>
              <w:left w:w="58" w:type="dxa"/>
              <w:bottom w:w="14" w:type="dxa"/>
              <w:right w:w="58" w:type="dxa"/>
            </w:tcMar>
            <w:vAlign w:val="center"/>
          </w:tcPr>
          <w:p w14:paraId="6A88637B" w14:textId="0D0C4A49" w:rsidR="005D10B3" w:rsidRPr="003470BA" w:rsidRDefault="005D10B3" w:rsidP="00171C02">
            <w:pPr>
              <w:pStyle w:val="NoSpacing"/>
              <w:jc w:val="center"/>
            </w:pPr>
            <w:r w:rsidRPr="003470BA">
              <w:rPr>
                <w:rFonts w:ascii="Segoe UI Symbol" w:hAnsi="Segoe UI Symbol" w:cs="Segoe UI Symbol"/>
              </w:rPr>
              <w:t>☐</w:t>
            </w:r>
          </w:p>
        </w:tc>
        <w:tc>
          <w:tcPr>
            <w:tcW w:w="4278" w:type="dxa"/>
            <w:tcBorders>
              <w:top w:val="single" w:sz="2" w:space="0" w:color="D9D9D9" w:themeColor="background1" w:themeShade="D9"/>
              <w:left w:val="dotted" w:sz="8" w:space="0" w:color="BFBFBF" w:themeColor="background1" w:themeShade="BF"/>
              <w:bottom w:val="single" w:sz="2" w:space="0" w:color="D9D9D9" w:themeColor="background1" w:themeShade="D9"/>
              <w:right w:val="single" w:sz="4" w:space="0" w:color="BFBFBF" w:themeColor="background1" w:themeShade="BF"/>
            </w:tcBorders>
            <w:tcMar>
              <w:top w:w="14" w:type="dxa"/>
              <w:left w:w="58" w:type="dxa"/>
              <w:bottom w:w="14" w:type="dxa"/>
            </w:tcMar>
            <w:vAlign w:val="center"/>
          </w:tcPr>
          <w:p w14:paraId="0D5D4E36" w14:textId="6314CAFC" w:rsidR="005D10B3" w:rsidRPr="003470BA" w:rsidRDefault="005D10B3" w:rsidP="00BE3ECD">
            <w:pPr>
              <w:pStyle w:val="NoSpacing"/>
            </w:pPr>
            <w:r w:rsidRPr="003470BA">
              <w:t>Community and Social support</w:t>
            </w:r>
            <w:r w:rsidRPr="003470BA">
              <w:rPr>
                <w:rStyle w:val="EndnoteReference"/>
              </w:rPr>
              <w:endnoteReference w:id="6"/>
            </w:r>
          </w:p>
        </w:tc>
        <w:tc>
          <w:tcPr>
            <w:tcW w:w="5080" w:type="dxa"/>
            <w:vMerge/>
            <w:tcBorders>
              <w:left w:val="single" w:sz="4" w:space="0" w:color="BFBFBF" w:themeColor="background1" w:themeShade="BF"/>
              <w:right w:val="single" w:sz="4" w:space="0" w:color="BFBFBF" w:themeColor="background1" w:themeShade="BF"/>
            </w:tcBorders>
            <w:tcMar>
              <w:top w:w="14" w:type="dxa"/>
              <w:left w:w="58" w:type="dxa"/>
              <w:bottom w:w="14" w:type="dxa"/>
            </w:tcMar>
          </w:tcPr>
          <w:p w14:paraId="4F8E3001" w14:textId="77777777" w:rsidR="005D10B3" w:rsidRPr="003470BA" w:rsidRDefault="005D10B3" w:rsidP="00BE3ECD">
            <w:pPr>
              <w:pStyle w:val="NoSpacing"/>
            </w:pPr>
          </w:p>
        </w:tc>
      </w:tr>
      <w:tr w:rsidR="005D10B3" w:rsidRPr="003470BA" w14:paraId="2E8895A5" w14:textId="77777777" w:rsidTr="0057474E">
        <w:trPr>
          <w:gridAfter w:val="1"/>
          <w:wAfter w:w="9" w:type="dxa"/>
          <w:trHeight w:val="144"/>
        </w:trPr>
        <w:tc>
          <w:tcPr>
            <w:tcW w:w="714" w:type="dxa"/>
            <w:tcBorders>
              <w:top w:val="single" w:sz="2" w:space="0" w:color="D9D9D9" w:themeColor="background1" w:themeShade="D9"/>
              <w:left w:val="single" w:sz="4" w:space="0" w:color="BFBFBF" w:themeColor="background1" w:themeShade="BF"/>
              <w:bottom w:val="single" w:sz="2" w:space="0" w:color="D9D9D9" w:themeColor="background1" w:themeShade="D9"/>
              <w:right w:val="nil"/>
            </w:tcBorders>
            <w:shd w:val="clear" w:color="auto" w:fill="F2F2F2" w:themeFill="background1" w:themeFillShade="F2"/>
            <w:tcMar>
              <w:top w:w="14" w:type="dxa"/>
              <w:left w:w="43" w:type="dxa"/>
              <w:bottom w:w="14" w:type="dxa"/>
              <w:right w:w="43" w:type="dxa"/>
            </w:tcMar>
            <w:vAlign w:val="center"/>
          </w:tcPr>
          <w:p w14:paraId="6A312253" w14:textId="2B8A78CF" w:rsidR="005D10B3" w:rsidRPr="003470BA" w:rsidRDefault="005D10B3" w:rsidP="00171C02">
            <w:pPr>
              <w:pStyle w:val="NoSpacing"/>
              <w:jc w:val="center"/>
            </w:pPr>
            <w:r w:rsidRPr="003470BA">
              <w:rPr>
                <w:rFonts w:ascii="Segoe UI Symbol" w:hAnsi="Segoe UI Symbol" w:cs="Segoe UI Symbol"/>
              </w:rPr>
              <w:t>☐</w:t>
            </w:r>
          </w:p>
        </w:tc>
        <w:tc>
          <w:tcPr>
            <w:tcW w:w="714" w:type="dxa"/>
            <w:tcBorders>
              <w:top w:val="single" w:sz="2" w:space="0" w:color="D9D9D9" w:themeColor="background1" w:themeShade="D9"/>
              <w:left w:val="nil"/>
              <w:bottom w:val="single" w:sz="2" w:space="0" w:color="D9D9D9" w:themeColor="background1" w:themeShade="D9"/>
              <w:right w:val="dotted" w:sz="8" w:space="0" w:color="BFBFBF" w:themeColor="background1" w:themeShade="BF"/>
            </w:tcBorders>
            <w:tcMar>
              <w:top w:w="14" w:type="dxa"/>
              <w:left w:w="58" w:type="dxa"/>
              <w:bottom w:w="14" w:type="dxa"/>
              <w:right w:w="58" w:type="dxa"/>
            </w:tcMar>
            <w:vAlign w:val="center"/>
          </w:tcPr>
          <w:p w14:paraId="79FEB812" w14:textId="7A497011" w:rsidR="005D10B3" w:rsidRPr="003470BA" w:rsidRDefault="005D10B3" w:rsidP="00171C02">
            <w:pPr>
              <w:pStyle w:val="NoSpacing"/>
              <w:jc w:val="center"/>
            </w:pPr>
            <w:r w:rsidRPr="003470BA">
              <w:rPr>
                <w:rFonts w:ascii="Segoe UI Symbol" w:hAnsi="Segoe UI Symbol" w:cs="Segoe UI Symbol"/>
              </w:rPr>
              <w:t>☐</w:t>
            </w:r>
          </w:p>
        </w:tc>
        <w:tc>
          <w:tcPr>
            <w:tcW w:w="4278" w:type="dxa"/>
            <w:tcBorders>
              <w:top w:val="single" w:sz="2" w:space="0" w:color="D9D9D9" w:themeColor="background1" w:themeShade="D9"/>
              <w:left w:val="dotted" w:sz="8" w:space="0" w:color="BFBFBF" w:themeColor="background1" w:themeShade="BF"/>
              <w:bottom w:val="single" w:sz="2" w:space="0" w:color="D9D9D9" w:themeColor="background1" w:themeShade="D9"/>
              <w:right w:val="single" w:sz="4" w:space="0" w:color="BFBFBF" w:themeColor="background1" w:themeShade="BF"/>
            </w:tcBorders>
            <w:tcMar>
              <w:top w:w="14" w:type="dxa"/>
              <w:left w:w="58" w:type="dxa"/>
              <w:bottom w:w="14" w:type="dxa"/>
            </w:tcMar>
            <w:vAlign w:val="center"/>
          </w:tcPr>
          <w:p w14:paraId="3BE87649" w14:textId="13C84CBF" w:rsidR="005D10B3" w:rsidRPr="003470BA" w:rsidRDefault="005D10B3" w:rsidP="00BE3ECD">
            <w:pPr>
              <w:pStyle w:val="NoSpacing"/>
            </w:pPr>
            <w:r w:rsidRPr="003470BA">
              <w:t>Accommodations to help encounters</w:t>
            </w:r>
            <w:r w:rsidRPr="003470BA">
              <w:rPr>
                <w:rStyle w:val="EndnoteReference"/>
              </w:rPr>
              <w:endnoteReference w:id="7"/>
            </w:r>
          </w:p>
        </w:tc>
        <w:tc>
          <w:tcPr>
            <w:tcW w:w="5080" w:type="dxa"/>
            <w:vMerge/>
            <w:tcBorders>
              <w:left w:val="single" w:sz="4" w:space="0" w:color="BFBFBF" w:themeColor="background1" w:themeShade="BF"/>
              <w:right w:val="single" w:sz="4" w:space="0" w:color="BFBFBF" w:themeColor="background1" w:themeShade="BF"/>
            </w:tcBorders>
            <w:tcMar>
              <w:top w:w="14" w:type="dxa"/>
              <w:left w:w="58" w:type="dxa"/>
              <w:bottom w:w="14" w:type="dxa"/>
            </w:tcMar>
          </w:tcPr>
          <w:p w14:paraId="600EB026" w14:textId="77777777" w:rsidR="005D10B3" w:rsidRPr="003470BA" w:rsidRDefault="005D10B3" w:rsidP="00BE3ECD">
            <w:pPr>
              <w:pStyle w:val="NoSpacing"/>
            </w:pPr>
          </w:p>
        </w:tc>
      </w:tr>
      <w:tr w:rsidR="005D10B3" w:rsidRPr="003470BA" w14:paraId="4EBD4709" w14:textId="77777777" w:rsidTr="0057474E">
        <w:trPr>
          <w:gridAfter w:val="1"/>
          <w:wAfter w:w="9" w:type="dxa"/>
          <w:trHeight w:val="144"/>
        </w:trPr>
        <w:tc>
          <w:tcPr>
            <w:tcW w:w="714" w:type="dxa"/>
            <w:tcBorders>
              <w:top w:val="single" w:sz="2" w:space="0" w:color="D9D9D9" w:themeColor="background1" w:themeShade="D9"/>
              <w:left w:val="single" w:sz="4" w:space="0" w:color="BFBFBF" w:themeColor="background1" w:themeShade="BF"/>
              <w:bottom w:val="single" w:sz="4" w:space="0" w:color="BFBFBF" w:themeColor="background1" w:themeShade="BF"/>
              <w:right w:val="nil"/>
            </w:tcBorders>
            <w:shd w:val="clear" w:color="auto" w:fill="F2F2F2" w:themeFill="background1" w:themeFillShade="F2"/>
            <w:tcMar>
              <w:top w:w="14" w:type="dxa"/>
              <w:left w:w="43" w:type="dxa"/>
              <w:bottom w:w="14" w:type="dxa"/>
              <w:right w:w="43" w:type="dxa"/>
            </w:tcMar>
            <w:vAlign w:val="center"/>
          </w:tcPr>
          <w:p w14:paraId="4CF7D78D" w14:textId="147DE05B" w:rsidR="005D10B3" w:rsidRPr="003470BA" w:rsidRDefault="005D10B3" w:rsidP="005D10B3">
            <w:pPr>
              <w:pStyle w:val="NoSpacing"/>
              <w:jc w:val="center"/>
              <w:rPr>
                <w:rFonts w:ascii="Segoe UI Symbol" w:hAnsi="Segoe UI Symbol" w:cs="Segoe UI Symbol"/>
              </w:rPr>
            </w:pPr>
            <w:r w:rsidRPr="003470BA">
              <w:rPr>
                <w:rFonts w:ascii="Segoe UI Symbol" w:hAnsi="Segoe UI Symbol" w:cs="Segoe UI Symbol"/>
              </w:rPr>
              <w:t>☐</w:t>
            </w:r>
          </w:p>
        </w:tc>
        <w:tc>
          <w:tcPr>
            <w:tcW w:w="714" w:type="dxa"/>
            <w:tcBorders>
              <w:top w:val="single" w:sz="2" w:space="0" w:color="D9D9D9" w:themeColor="background1" w:themeShade="D9"/>
              <w:left w:val="nil"/>
              <w:bottom w:val="single" w:sz="4" w:space="0" w:color="BFBFBF" w:themeColor="background1" w:themeShade="BF"/>
              <w:right w:val="dotted" w:sz="8" w:space="0" w:color="BFBFBF" w:themeColor="background1" w:themeShade="BF"/>
            </w:tcBorders>
            <w:tcMar>
              <w:top w:w="14" w:type="dxa"/>
              <w:left w:w="58" w:type="dxa"/>
              <w:bottom w:w="14" w:type="dxa"/>
              <w:right w:w="58" w:type="dxa"/>
            </w:tcMar>
            <w:vAlign w:val="center"/>
          </w:tcPr>
          <w:p w14:paraId="5B15092C" w14:textId="3C14C0F3" w:rsidR="005D10B3" w:rsidRPr="003470BA" w:rsidRDefault="005D10B3" w:rsidP="005D10B3">
            <w:pPr>
              <w:pStyle w:val="NoSpacing"/>
              <w:jc w:val="center"/>
              <w:rPr>
                <w:rFonts w:ascii="Segoe UI Symbol" w:hAnsi="Segoe UI Symbol" w:cs="Segoe UI Symbol"/>
              </w:rPr>
            </w:pPr>
            <w:r w:rsidRPr="003470BA">
              <w:rPr>
                <w:rFonts w:ascii="Segoe UI Symbol" w:hAnsi="Segoe UI Symbol" w:cs="Segoe UI Symbol"/>
              </w:rPr>
              <w:t>☐</w:t>
            </w:r>
          </w:p>
        </w:tc>
        <w:tc>
          <w:tcPr>
            <w:tcW w:w="4278" w:type="dxa"/>
            <w:tcBorders>
              <w:top w:val="single" w:sz="2" w:space="0" w:color="D9D9D9" w:themeColor="background1" w:themeShade="D9"/>
              <w:left w:val="dotted" w:sz="8" w:space="0" w:color="BFBFBF" w:themeColor="background1" w:themeShade="BF"/>
              <w:bottom w:val="single" w:sz="4" w:space="0" w:color="BFBFBF" w:themeColor="background1" w:themeShade="BF"/>
              <w:right w:val="single" w:sz="4" w:space="0" w:color="BFBFBF" w:themeColor="background1" w:themeShade="BF"/>
            </w:tcBorders>
            <w:tcMar>
              <w:top w:w="14" w:type="dxa"/>
              <w:left w:w="58" w:type="dxa"/>
              <w:bottom w:w="14" w:type="dxa"/>
            </w:tcMar>
            <w:vAlign w:val="center"/>
          </w:tcPr>
          <w:p w14:paraId="510DCBBA" w14:textId="6042D3A0" w:rsidR="005D10B3" w:rsidRPr="003470BA" w:rsidRDefault="00E005B1" w:rsidP="005D10B3">
            <w:pPr>
              <w:pStyle w:val="NoSpacing"/>
            </w:pPr>
            <w:r w:rsidRPr="00D269D0">
              <w:t>Other health workers involved</w:t>
            </w:r>
            <w:r>
              <w:rPr>
                <w:rStyle w:val="EndnoteReference"/>
              </w:rPr>
              <w:endnoteReference w:id="8"/>
            </w:r>
          </w:p>
        </w:tc>
        <w:tc>
          <w:tcPr>
            <w:tcW w:w="508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Mar>
              <w:top w:w="14" w:type="dxa"/>
              <w:left w:w="58" w:type="dxa"/>
              <w:bottom w:w="14" w:type="dxa"/>
            </w:tcMar>
          </w:tcPr>
          <w:p w14:paraId="194D8A3F" w14:textId="77777777" w:rsidR="005D10B3" w:rsidRPr="003470BA" w:rsidRDefault="005D10B3" w:rsidP="005D10B3">
            <w:pPr>
              <w:pStyle w:val="NoSpacing"/>
            </w:pPr>
          </w:p>
        </w:tc>
      </w:tr>
    </w:tbl>
    <w:p w14:paraId="4028CA77" w14:textId="2D0C5D2E" w:rsidR="007B3962" w:rsidRPr="00C028DE" w:rsidRDefault="007B3962" w:rsidP="002D5317">
      <w:pPr>
        <w:pStyle w:val="H2"/>
        <w:rPr>
          <w:rStyle w:val="H2-Subheading"/>
          <w:rFonts w:ascii="Lato Black" w:hAnsi="Lato Black"/>
        </w:rPr>
      </w:pPr>
      <w:r w:rsidRPr="002D5317">
        <w:t>Step 3</w:t>
      </w:r>
      <w:r w:rsidR="00D93F0D" w:rsidRPr="002D5317">
        <w:t xml:space="preserve">: </w:t>
      </w:r>
      <w:r w:rsidR="00325981" w:rsidRPr="00325981">
        <w:rPr>
          <w:rStyle w:val="H2-Subheading"/>
          <w:b w:val="0"/>
          <w:bCs w:val="0"/>
        </w:rPr>
        <w:t>Chronic Disease Management</w:t>
      </w:r>
      <w:r w:rsidR="00325981">
        <w:rPr>
          <w:rStyle w:val="H2-Subheading"/>
          <w:b w:val="0"/>
          <w:bCs w:val="0"/>
        </w:rPr>
        <w:br/>
      </w:r>
      <w:r w:rsidR="00C028DE" w:rsidRPr="00C028DE">
        <w:rPr>
          <w:rStyle w:val="NoSpacingChar"/>
          <w:b w:val="0"/>
          <w:bCs w:val="0"/>
          <w:i/>
          <w:iCs/>
        </w:rPr>
        <w:t>Update your patient’s chart’s existing Cumulative Patient Profile, Medications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2" w:space="0" w:color="D9D9D9" w:themeColor="background1" w:themeShade="D9"/>
        </w:tblBorders>
        <w:tblLayout w:type="fixed"/>
        <w:tblCellMar>
          <w:top w:w="29" w:type="dxa"/>
          <w:left w:w="144" w:type="dxa"/>
          <w:bottom w:w="29" w:type="dxa"/>
          <w:right w:w="58" w:type="dxa"/>
        </w:tblCellMar>
        <w:tblLook w:val="04A0" w:firstRow="1" w:lastRow="0" w:firstColumn="1" w:lastColumn="0" w:noHBand="0" w:noVBand="1"/>
      </w:tblPr>
      <w:tblGrid>
        <w:gridCol w:w="726"/>
        <w:gridCol w:w="709"/>
        <w:gridCol w:w="4230"/>
        <w:gridCol w:w="5310"/>
      </w:tblGrid>
      <w:tr w:rsidR="00082CE9" w:rsidRPr="003470BA" w14:paraId="7701277E" w14:textId="77777777" w:rsidTr="009A413B">
        <w:trPr>
          <w:trHeight w:val="144"/>
        </w:trPr>
        <w:tc>
          <w:tcPr>
            <w:tcW w:w="726" w:type="dxa"/>
            <w:tcBorders>
              <w:top w:val="single" w:sz="4" w:space="0" w:color="BFBFBF" w:themeColor="background1" w:themeShade="BF"/>
              <w:left w:val="single" w:sz="4" w:space="0" w:color="BFBFBF" w:themeColor="background1" w:themeShade="BF"/>
              <w:bottom w:val="nil"/>
              <w:right w:val="nil"/>
            </w:tcBorders>
            <w:shd w:val="clear" w:color="auto" w:fill="F2F2F2" w:themeFill="background1" w:themeFillShade="F2"/>
            <w:tcMar>
              <w:top w:w="29" w:type="dxa"/>
              <w:left w:w="58" w:type="dxa"/>
              <w:bottom w:w="29" w:type="dxa"/>
              <w:right w:w="58" w:type="dxa"/>
            </w:tcMar>
            <w:vAlign w:val="bottom"/>
          </w:tcPr>
          <w:p w14:paraId="707E5832" w14:textId="6D2CD19E" w:rsidR="00082CE9" w:rsidRPr="0003054B" w:rsidRDefault="009A413B" w:rsidP="00825BC5">
            <w:pPr>
              <w:pStyle w:val="H3"/>
              <w:jc w:val="center"/>
              <w:rPr>
                <w:b w:val="0"/>
                <w:bCs w:val="0"/>
              </w:rPr>
            </w:pPr>
            <w:r>
              <w:rPr>
                <w:b w:val="0"/>
                <w:bCs w:val="0"/>
              </w:rPr>
              <w:t>Year 1</w:t>
            </w:r>
          </w:p>
        </w:tc>
        <w:tc>
          <w:tcPr>
            <w:tcW w:w="709" w:type="dxa"/>
            <w:tcBorders>
              <w:top w:val="single" w:sz="4" w:space="0" w:color="BFBFBF" w:themeColor="background1" w:themeShade="BF"/>
              <w:left w:val="nil"/>
              <w:bottom w:val="nil"/>
              <w:right w:val="single" w:sz="4" w:space="0" w:color="BFBFBF" w:themeColor="background1" w:themeShade="BF"/>
            </w:tcBorders>
            <w:tcMar>
              <w:top w:w="29" w:type="dxa"/>
              <w:left w:w="58" w:type="dxa"/>
              <w:bottom w:w="29" w:type="dxa"/>
              <w:right w:w="58" w:type="dxa"/>
            </w:tcMar>
            <w:vAlign w:val="bottom"/>
          </w:tcPr>
          <w:p w14:paraId="3A0A6D9A" w14:textId="0FB5776C" w:rsidR="00082CE9" w:rsidRPr="0003054B" w:rsidRDefault="009A413B" w:rsidP="00825BC5">
            <w:pPr>
              <w:pStyle w:val="H3"/>
              <w:jc w:val="center"/>
              <w:rPr>
                <w:b w:val="0"/>
                <w:bCs w:val="0"/>
              </w:rPr>
            </w:pPr>
            <w:r>
              <w:rPr>
                <w:b w:val="0"/>
                <w:bCs w:val="0"/>
              </w:rPr>
              <w:t>Year 2</w:t>
            </w:r>
          </w:p>
        </w:tc>
        <w:tc>
          <w:tcPr>
            <w:tcW w:w="4230" w:type="dxa"/>
            <w:tcBorders>
              <w:top w:val="nil"/>
              <w:left w:val="single" w:sz="4" w:space="0" w:color="BFBFBF" w:themeColor="background1" w:themeShade="BF"/>
              <w:bottom w:val="single" w:sz="4" w:space="0" w:color="BFBFBF" w:themeColor="background1" w:themeShade="BF"/>
              <w:right w:val="nil"/>
            </w:tcBorders>
            <w:tcMar>
              <w:top w:w="29" w:type="dxa"/>
              <w:left w:w="58" w:type="dxa"/>
              <w:bottom w:w="29" w:type="dxa"/>
              <w:right w:w="58" w:type="dxa"/>
            </w:tcMar>
            <w:vAlign w:val="bottom"/>
          </w:tcPr>
          <w:p w14:paraId="3D1B751A" w14:textId="77777777" w:rsidR="00082CE9" w:rsidRPr="003470BA" w:rsidRDefault="00082CE9" w:rsidP="00BE3ECD">
            <w:pPr>
              <w:pStyle w:val="NoSpacing"/>
            </w:pPr>
          </w:p>
        </w:tc>
        <w:tc>
          <w:tcPr>
            <w:tcW w:w="5310" w:type="dxa"/>
            <w:tcBorders>
              <w:top w:val="nil"/>
              <w:left w:val="nil"/>
              <w:bottom w:val="nil"/>
              <w:right w:val="nil"/>
            </w:tcBorders>
            <w:tcMar>
              <w:top w:w="29" w:type="dxa"/>
              <w:left w:w="58" w:type="dxa"/>
              <w:bottom w:w="29" w:type="dxa"/>
              <w:right w:w="58" w:type="dxa"/>
            </w:tcMar>
            <w:vAlign w:val="bottom"/>
          </w:tcPr>
          <w:p w14:paraId="61683D36" w14:textId="573860F3" w:rsidR="00082CE9" w:rsidRPr="003470BA" w:rsidRDefault="00082CE9" w:rsidP="00747E5A">
            <w:pPr>
              <w:pStyle w:val="TableHeaders"/>
            </w:pPr>
          </w:p>
        </w:tc>
      </w:tr>
      <w:tr w:rsidR="00724184" w:rsidRPr="003470BA" w14:paraId="64DD2ADF" w14:textId="77777777" w:rsidTr="009A413B">
        <w:trPr>
          <w:trHeight w:val="187"/>
        </w:trPr>
        <w:tc>
          <w:tcPr>
            <w:tcW w:w="726" w:type="dxa"/>
            <w:tcBorders>
              <w:top w:val="nil"/>
              <w:left w:val="single" w:sz="4" w:space="0" w:color="BFBFBF" w:themeColor="background1" w:themeShade="BF"/>
              <w:bottom w:val="single" w:sz="2" w:space="0" w:color="D9D9D9" w:themeColor="background1" w:themeShade="D9"/>
              <w:right w:val="nil"/>
            </w:tcBorders>
            <w:shd w:val="clear" w:color="auto" w:fill="F2F2F2" w:themeFill="background1" w:themeFillShade="F2"/>
            <w:tcMar>
              <w:top w:w="29" w:type="dxa"/>
              <w:left w:w="58" w:type="dxa"/>
              <w:bottom w:w="29" w:type="dxa"/>
              <w:right w:w="58" w:type="dxa"/>
            </w:tcMar>
            <w:vAlign w:val="bottom"/>
          </w:tcPr>
          <w:p w14:paraId="1061ACB7" w14:textId="2110F0CE" w:rsidR="00724184" w:rsidRPr="003470BA" w:rsidRDefault="00724184" w:rsidP="00314E04">
            <w:pPr>
              <w:pStyle w:val="TableHeaders"/>
              <w:jc w:val="center"/>
            </w:pPr>
            <w:r w:rsidRPr="003470BA">
              <w:t>Done</w:t>
            </w:r>
          </w:p>
        </w:tc>
        <w:tc>
          <w:tcPr>
            <w:tcW w:w="709" w:type="dxa"/>
            <w:tcBorders>
              <w:top w:val="nil"/>
              <w:left w:val="nil"/>
              <w:bottom w:val="single" w:sz="2" w:space="0" w:color="D9D9D9" w:themeColor="background1" w:themeShade="D9"/>
              <w:right w:val="dotted" w:sz="8" w:space="0" w:color="BFBFBF" w:themeColor="background1" w:themeShade="BF"/>
            </w:tcBorders>
            <w:tcMar>
              <w:top w:w="29" w:type="dxa"/>
              <w:left w:w="58" w:type="dxa"/>
              <w:bottom w:w="29" w:type="dxa"/>
              <w:right w:w="58" w:type="dxa"/>
            </w:tcMar>
            <w:vAlign w:val="bottom"/>
          </w:tcPr>
          <w:p w14:paraId="3C52746D" w14:textId="7434F329" w:rsidR="00724184" w:rsidRPr="003470BA" w:rsidRDefault="00724184" w:rsidP="00314E04">
            <w:pPr>
              <w:pStyle w:val="TableHeaders"/>
              <w:jc w:val="center"/>
            </w:pPr>
            <w:r w:rsidRPr="003470BA">
              <w:t>Done</w:t>
            </w:r>
          </w:p>
        </w:tc>
        <w:tc>
          <w:tcPr>
            <w:tcW w:w="4230" w:type="dxa"/>
            <w:tcBorders>
              <w:top w:val="single" w:sz="4" w:space="0" w:color="BFBFBF" w:themeColor="background1" w:themeShade="BF"/>
              <w:left w:val="dotted" w:sz="8" w:space="0" w:color="BFBFBF" w:themeColor="background1" w:themeShade="BF"/>
              <w:bottom w:val="nil"/>
              <w:right w:val="single" w:sz="4" w:space="0" w:color="BFBFBF" w:themeColor="background1" w:themeShade="BF"/>
            </w:tcBorders>
            <w:tcMar>
              <w:top w:w="29" w:type="dxa"/>
              <w:left w:w="58" w:type="dxa"/>
              <w:bottom w:w="29" w:type="dxa"/>
              <w:right w:w="58" w:type="dxa"/>
            </w:tcMar>
            <w:vAlign w:val="bottom"/>
          </w:tcPr>
          <w:p w14:paraId="72202F0B" w14:textId="5E706782" w:rsidR="00724184" w:rsidRPr="003470BA" w:rsidRDefault="000D3302" w:rsidP="00314E04">
            <w:pPr>
              <w:pStyle w:val="TableHeaders"/>
            </w:pPr>
            <w:r>
              <w:t>Disease</w:t>
            </w:r>
            <w:r w:rsidR="009B4380">
              <w:t xml:space="preserve"> Management</w:t>
            </w:r>
          </w:p>
        </w:tc>
        <w:tc>
          <w:tcPr>
            <w:tcW w:w="5310" w:type="dxa"/>
            <w:tcBorders>
              <w:top w:val="single" w:sz="4" w:space="0" w:color="BFBFBF" w:themeColor="background1" w:themeShade="BF"/>
              <w:left w:val="dotted" w:sz="8" w:space="0" w:color="BFBFBF" w:themeColor="background1" w:themeShade="BF"/>
              <w:bottom w:val="nil"/>
              <w:right w:val="single" w:sz="4" w:space="0" w:color="BFBFBF" w:themeColor="background1" w:themeShade="BF"/>
            </w:tcBorders>
            <w:vAlign w:val="bottom"/>
          </w:tcPr>
          <w:p w14:paraId="11C244FC" w14:textId="28EC3DE5" w:rsidR="00724184" w:rsidRPr="003470BA" w:rsidRDefault="00724184" w:rsidP="00314E04">
            <w:pPr>
              <w:pStyle w:val="TableHeaders"/>
            </w:pPr>
            <w:r>
              <w:t>Notes</w:t>
            </w:r>
          </w:p>
        </w:tc>
      </w:tr>
      <w:tr w:rsidR="00082CE9" w:rsidRPr="003470BA" w14:paraId="3AE7B2AC" w14:textId="77777777" w:rsidTr="009A413B">
        <w:trPr>
          <w:trHeight w:val="144"/>
        </w:trPr>
        <w:tc>
          <w:tcPr>
            <w:tcW w:w="726" w:type="dxa"/>
            <w:tcBorders>
              <w:top w:val="single" w:sz="2" w:space="0" w:color="D9D9D9" w:themeColor="background1" w:themeShade="D9"/>
              <w:left w:val="single" w:sz="4" w:space="0" w:color="BFBFBF" w:themeColor="background1" w:themeShade="BF"/>
              <w:bottom w:val="single" w:sz="4" w:space="0" w:color="BFBFBF" w:themeColor="background1" w:themeShade="BF"/>
              <w:right w:val="nil"/>
            </w:tcBorders>
            <w:shd w:val="clear" w:color="auto" w:fill="F2F2F2" w:themeFill="background1" w:themeFillShade="F2"/>
            <w:tcMar>
              <w:top w:w="29" w:type="dxa"/>
              <w:left w:w="58" w:type="dxa"/>
              <w:bottom w:w="29" w:type="dxa"/>
              <w:right w:w="58" w:type="dxa"/>
            </w:tcMar>
            <w:vAlign w:val="center"/>
          </w:tcPr>
          <w:p w14:paraId="2B2BEECE" w14:textId="406E54D1" w:rsidR="00082CE9" w:rsidRPr="003470BA" w:rsidRDefault="00082CE9" w:rsidP="00E9742C">
            <w:pPr>
              <w:pStyle w:val="NoSpacing"/>
              <w:jc w:val="center"/>
              <w:rPr>
                <w:sz w:val="28"/>
                <w:szCs w:val="28"/>
              </w:rPr>
            </w:pPr>
            <w:r w:rsidRPr="003470BA">
              <w:rPr>
                <w:rFonts w:ascii="Segoe UI Symbol" w:hAnsi="Segoe UI Symbol" w:cs="Segoe UI Symbol"/>
              </w:rPr>
              <w:t>☐</w:t>
            </w:r>
          </w:p>
        </w:tc>
        <w:tc>
          <w:tcPr>
            <w:tcW w:w="709" w:type="dxa"/>
            <w:tcBorders>
              <w:top w:val="single" w:sz="2" w:space="0" w:color="D9D9D9" w:themeColor="background1" w:themeShade="D9"/>
              <w:left w:val="nil"/>
              <w:bottom w:val="single" w:sz="4" w:space="0" w:color="BFBFBF" w:themeColor="background1" w:themeShade="BF"/>
              <w:right w:val="dotted" w:sz="8" w:space="0" w:color="BFBFBF" w:themeColor="background1" w:themeShade="BF"/>
            </w:tcBorders>
            <w:tcMar>
              <w:top w:w="29" w:type="dxa"/>
              <w:left w:w="58" w:type="dxa"/>
              <w:bottom w:w="29" w:type="dxa"/>
              <w:right w:w="58" w:type="dxa"/>
            </w:tcMar>
            <w:vAlign w:val="center"/>
          </w:tcPr>
          <w:p w14:paraId="5BB229DB" w14:textId="72E4F365" w:rsidR="00082CE9" w:rsidRPr="003470BA" w:rsidRDefault="00082CE9" w:rsidP="00E9742C">
            <w:pPr>
              <w:pStyle w:val="NoSpacing"/>
              <w:jc w:val="center"/>
              <w:rPr>
                <w:sz w:val="28"/>
                <w:szCs w:val="28"/>
              </w:rPr>
            </w:pPr>
            <w:r w:rsidRPr="003470BA">
              <w:rPr>
                <w:rFonts w:ascii="Segoe UI Symbol" w:hAnsi="Segoe UI Symbol" w:cs="Segoe UI Symbol"/>
              </w:rPr>
              <w:t>☐</w:t>
            </w:r>
          </w:p>
        </w:tc>
        <w:tc>
          <w:tcPr>
            <w:tcW w:w="4230" w:type="dxa"/>
            <w:tcBorders>
              <w:top w:val="single" w:sz="2" w:space="0" w:color="D9D9D9" w:themeColor="background1" w:themeShade="D9"/>
              <w:left w:val="dotted" w:sz="8" w:space="0" w:color="BFBFBF" w:themeColor="background1" w:themeShade="BF"/>
              <w:bottom w:val="single" w:sz="4" w:space="0" w:color="BFBFBF" w:themeColor="background1" w:themeShade="BF"/>
              <w:right w:val="nil"/>
            </w:tcBorders>
            <w:tcMar>
              <w:top w:w="29" w:type="dxa"/>
              <w:left w:w="58" w:type="dxa"/>
              <w:bottom w:w="29" w:type="dxa"/>
              <w:right w:w="58" w:type="dxa"/>
            </w:tcMar>
            <w:vAlign w:val="center"/>
          </w:tcPr>
          <w:p w14:paraId="5CFCABBF" w14:textId="70454254" w:rsidR="00082CE9" w:rsidRPr="003470BA" w:rsidRDefault="007B3962" w:rsidP="00BE3ECD">
            <w:pPr>
              <w:pStyle w:val="NoSpacing"/>
              <w:rPr>
                <w:rFonts w:cs="Segoe UI Symbol"/>
                <w:sz w:val="20"/>
                <w:szCs w:val="20"/>
              </w:rPr>
            </w:pPr>
            <w:r w:rsidRPr="003470BA">
              <w:t>Review chronic conditions, med</w:t>
            </w:r>
            <w:r w:rsidR="009B4380">
              <w:t>ication</w:t>
            </w:r>
            <w:r w:rsidRPr="003470BA">
              <w:t>s</w:t>
            </w:r>
            <w:r w:rsidRPr="003470BA">
              <w:rPr>
                <w:rStyle w:val="EndnoteReference"/>
              </w:rPr>
              <w:endnoteReference w:id="9"/>
            </w:r>
          </w:p>
        </w:tc>
        <w:tc>
          <w:tcPr>
            <w:tcW w:w="5310" w:type="dxa"/>
            <w:tcBorders>
              <w:top w:val="single" w:sz="2" w:space="0" w:color="D9D9D9" w:themeColor="background1" w:themeShade="D9"/>
              <w:left w:val="nil"/>
              <w:bottom w:val="single" w:sz="4" w:space="0" w:color="BFBFBF" w:themeColor="background1" w:themeShade="BF"/>
              <w:right w:val="single" w:sz="4" w:space="0" w:color="BFBFBF" w:themeColor="background1" w:themeShade="BF"/>
            </w:tcBorders>
            <w:tcMar>
              <w:top w:w="29" w:type="dxa"/>
              <w:left w:w="58" w:type="dxa"/>
              <w:bottom w:w="29" w:type="dxa"/>
              <w:right w:w="58" w:type="dxa"/>
            </w:tcMar>
          </w:tcPr>
          <w:p w14:paraId="7993EC93" w14:textId="77777777" w:rsidR="00082CE9" w:rsidRPr="003470BA" w:rsidRDefault="00082CE9" w:rsidP="00BE3ECD">
            <w:pPr>
              <w:pStyle w:val="NoSpacing"/>
            </w:pPr>
          </w:p>
        </w:tc>
      </w:tr>
    </w:tbl>
    <w:p w14:paraId="727911B8" w14:textId="55C2A768" w:rsidR="0016538B" w:rsidRPr="00DB0F69" w:rsidRDefault="0016538B" w:rsidP="008363ED">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2" w:space="0" w:color="D9D9D9" w:themeColor="background1" w:themeShade="D9"/>
        </w:tblBorders>
        <w:tblLayout w:type="fixed"/>
        <w:tblCellMar>
          <w:top w:w="29" w:type="dxa"/>
          <w:left w:w="58" w:type="dxa"/>
          <w:bottom w:w="29" w:type="dxa"/>
          <w:right w:w="58" w:type="dxa"/>
        </w:tblCellMar>
        <w:tblLook w:val="04A0" w:firstRow="1" w:lastRow="0" w:firstColumn="1" w:lastColumn="0" w:noHBand="0" w:noVBand="1"/>
      </w:tblPr>
      <w:tblGrid>
        <w:gridCol w:w="838"/>
        <w:gridCol w:w="839"/>
        <w:gridCol w:w="839"/>
        <w:gridCol w:w="839"/>
        <w:gridCol w:w="2315"/>
        <w:gridCol w:w="5310"/>
      </w:tblGrid>
      <w:tr w:rsidR="00610D3E" w:rsidRPr="003470BA" w14:paraId="00DCE521" w14:textId="77777777" w:rsidTr="00980718">
        <w:trPr>
          <w:cantSplit/>
          <w:trHeight w:val="144"/>
          <w:tblHeader/>
        </w:trPr>
        <w:tc>
          <w:tcPr>
            <w:tcW w:w="10970" w:type="dxa"/>
            <w:gridSpan w:val="6"/>
            <w:tcBorders>
              <w:top w:val="nil"/>
              <w:left w:val="nil"/>
              <w:bottom w:val="single" w:sz="8" w:space="0" w:color="BFBFBF" w:themeColor="background1" w:themeShade="BF"/>
              <w:right w:val="nil"/>
            </w:tcBorders>
            <w:shd w:val="clear" w:color="auto" w:fill="auto"/>
            <w:tcMar>
              <w:left w:w="58" w:type="dxa"/>
              <w:right w:w="58" w:type="dxa"/>
            </w:tcMar>
          </w:tcPr>
          <w:p w14:paraId="4075C394" w14:textId="006A1EA9" w:rsidR="00610D3E" w:rsidRPr="00FE3B56" w:rsidRDefault="00FE3B56" w:rsidP="00BD4275">
            <w:pPr>
              <w:pStyle w:val="NoSpacing"/>
              <w:spacing w:before="60" w:after="60"/>
              <w:rPr>
                <w:rStyle w:val="H2-Subheading"/>
              </w:rPr>
            </w:pPr>
            <w:r w:rsidRPr="00FE3B56">
              <w:rPr>
                <w:rStyle w:val="H2-Subheading"/>
                <w:b/>
                <w:bCs/>
                <w:sz w:val="22"/>
                <w:szCs w:val="22"/>
              </w:rPr>
              <w:t>Step 4</w:t>
            </w:r>
            <w:r>
              <w:rPr>
                <w:rStyle w:val="H2-Subheading"/>
                <w:b/>
                <w:bCs/>
                <w:sz w:val="22"/>
                <w:szCs w:val="22"/>
              </w:rPr>
              <w:t>:</w:t>
            </w:r>
            <w:r w:rsidRPr="00FE3B56">
              <w:rPr>
                <w:rStyle w:val="H2-Subheading"/>
                <w:sz w:val="22"/>
                <w:szCs w:val="22"/>
              </w:rPr>
              <w:t xml:space="preserve"> Systems review / risk assessment</w:t>
            </w:r>
            <w:r w:rsidRPr="009746C3">
              <w:rPr>
                <w:rStyle w:val="H2-Subheading"/>
                <w:sz w:val="22"/>
                <w:szCs w:val="22"/>
                <w:vertAlign w:val="superscript"/>
              </w:rPr>
              <w:endnoteReference w:id="10"/>
            </w:r>
          </w:p>
        </w:tc>
      </w:tr>
      <w:tr w:rsidR="0003054B" w:rsidRPr="003470BA" w14:paraId="798A1FED" w14:textId="77777777" w:rsidTr="002C0512">
        <w:trPr>
          <w:cantSplit/>
          <w:trHeight w:val="144"/>
        </w:trPr>
        <w:tc>
          <w:tcPr>
            <w:tcW w:w="1676" w:type="dxa"/>
            <w:gridSpan w:val="2"/>
            <w:tcBorders>
              <w:top w:val="nil"/>
              <w:left w:val="single" w:sz="4" w:space="0" w:color="BFBFBF" w:themeColor="background1" w:themeShade="BF"/>
              <w:bottom w:val="single" w:sz="4" w:space="0" w:color="FFFFFF" w:themeColor="background1"/>
              <w:right w:val="dotted" w:sz="8" w:space="0" w:color="BFBFBF" w:themeColor="background1" w:themeShade="BF"/>
            </w:tcBorders>
            <w:shd w:val="clear" w:color="auto" w:fill="F2F2F2" w:themeFill="background1" w:themeFillShade="F2"/>
            <w:tcMar>
              <w:left w:w="58" w:type="dxa"/>
              <w:right w:w="58" w:type="dxa"/>
            </w:tcMar>
          </w:tcPr>
          <w:p w14:paraId="47372DBE" w14:textId="52AC42DA" w:rsidR="0003054B" w:rsidRPr="0003054B" w:rsidRDefault="009A413B" w:rsidP="00E9742C">
            <w:pPr>
              <w:pStyle w:val="NoSpacing"/>
              <w:jc w:val="center"/>
              <w:rPr>
                <w:rFonts w:ascii="Lato Black" w:hAnsi="Lato Black" w:cs="Segoe UI Symbol"/>
                <w:sz w:val="20"/>
                <w:szCs w:val="20"/>
              </w:rPr>
            </w:pPr>
            <w:r>
              <w:rPr>
                <w:rFonts w:ascii="Lato Black" w:hAnsi="Lato Black"/>
                <w:sz w:val="20"/>
                <w:szCs w:val="20"/>
              </w:rPr>
              <w:t>Year 1</w:t>
            </w:r>
          </w:p>
        </w:tc>
        <w:tc>
          <w:tcPr>
            <w:tcW w:w="1676" w:type="dxa"/>
            <w:gridSpan w:val="2"/>
            <w:tcBorders>
              <w:top w:val="single" w:sz="8" w:space="0" w:color="BFBFBF" w:themeColor="background1" w:themeShade="BF"/>
              <w:left w:val="nil"/>
              <w:bottom w:val="single" w:sz="4" w:space="0" w:color="FFFFFF" w:themeColor="background1"/>
              <w:right w:val="dotted" w:sz="8" w:space="0" w:color="BFBFBF" w:themeColor="background1" w:themeShade="BF"/>
            </w:tcBorders>
            <w:tcMar>
              <w:left w:w="58" w:type="dxa"/>
              <w:right w:w="58" w:type="dxa"/>
            </w:tcMar>
          </w:tcPr>
          <w:p w14:paraId="56357FF4" w14:textId="5986EDD8" w:rsidR="0003054B" w:rsidRPr="0003054B" w:rsidRDefault="009A413B" w:rsidP="00E9742C">
            <w:pPr>
              <w:pStyle w:val="NoSpacing"/>
              <w:jc w:val="center"/>
              <w:rPr>
                <w:rFonts w:ascii="Lato Black" w:hAnsi="Lato Black" w:cs="Segoe UI Symbol"/>
                <w:sz w:val="20"/>
                <w:szCs w:val="20"/>
              </w:rPr>
            </w:pPr>
            <w:r>
              <w:rPr>
                <w:rFonts w:ascii="Lato Black" w:hAnsi="Lato Black" w:cs="Segoe UI Symbol"/>
                <w:sz w:val="20"/>
                <w:szCs w:val="20"/>
              </w:rPr>
              <w:t>Year 2</w:t>
            </w:r>
          </w:p>
        </w:tc>
        <w:tc>
          <w:tcPr>
            <w:tcW w:w="2313" w:type="dxa"/>
            <w:tcBorders>
              <w:top w:val="single" w:sz="8" w:space="0" w:color="BFBFBF" w:themeColor="background1" w:themeShade="BF"/>
              <w:left w:val="dotted" w:sz="8" w:space="0" w:color="BFBFBF" w:themeColor="background1" w:themeShade="BF"/>
              <w:bottom w:val="single" w:sz="4" w:space="0" w:color="FFFFFF" w:themeColor="background1"/>
              <w:right w:val="single" w:sz="4" w:space="0" w:color="BFBFBF" w:themeColor="background1" w:themeShade="BF"/>
            </w:tcBorders>
            <w:tcMar>
              <w:left w:w="58" w:type="dxa"/>
              <w:right w:w="58" w:type="dxa"/>
            </w:tcMar>
            <w:vAlign w:val="center"/>
          </w:tcPr>
          <w:p w14:paraId="5D7AA1B5" w14:textId="53065446" w:rsidR="0003054B" w:rsidRPr="003470BA" w:rsidRDefault="0003054B" w:rsidP="00590C17">
            <w:pPr>
              <w:pStyle w:val="NoSpacing"/>
            </w:pPr>
          </w:p>
        </w:tc>
        <w:tc>
          <w:tcPr>
            <w:tcW w:w="5305" w:type="dxa"/>
            <w:tcBorders>
              <w:top w:val="single" w:sz="8" w:space="0" w:color="BFBFBF" w:themeColor="background1" w:themeShade="BF"/>
              <w:left w:val="dotted" w:sz="8" w:space="0" w:color="BFBFBF" w:themeColor="background1" w:themeShade="BF"/>
              <w:bottom w:val="single" w:sz="4" w:space="0" w:color="FFFFFF" w:themeColor="background1"/>
              <w:right w:val="single" w:sz="4" w:space="0" w:color="BFBFBF" w:themeColor="background1" w:themeShade="BF"/>
            </w:tcBorders>
          </w:tcPr>
          <w:p w14:paraId="449A9670" w14:textId="77777777" w:rsidR="0003054B" w:rsidRPr="003470BA" w:rsidRDefault="0003054B" w:rsidP="00590C17">
            <w:pPr>
              <w:pStyle w:val="NoSpacing"/>
            </w:pPr>
          </w:p>
        </w:tc>
      </w:tr>
      <w:tr w:rsidR="00EC1838" w:rsidRPr="003470BA" w14:paraId="4338317D" w14:textId="77777777" w:rsidTr="002C0512">
        <w:trPr>
          <w:cantSplit/>
          <w:trHeight w:val="144"/>
        </w:trPr>
        <w:tc>
          <w:tcPr>
            <w:tcW w:w="838" w:type="dxa"/>
            <w:tcBorders>
              <w:top w:val="single" w:sz="4" w:space="0" w:color="FFFFFF" w:themeColor="background1"/>
              <w:left w:val="single" w:sz="4" w:space="0" w:color="BFBFBF" w:themeColor="background1" w:themeShade="BF"/>
              <w:bottom w:val="single" w:sz="8" w:space="0" w:color="BFBFBF" w:themeColor="background1" w:themeShade="BF"/>
              <w:right w:val="single" w:sz="4" w:space="0" w:color="FFFFFF" w:themeColor="background1"/>
            </w:tcBorders>
            <w:shd w:val="clear" w:color="auto" w:fill="F2F2F2" w:themeFill="background1" w:themeFillShade="F2"/>
            <w:tcMar>
              <w:left w:w="58" w:type="dxa"/>
              <w:right w:w="58" w:type="dxa"/>
            </w:tcMar>
          </w:tcPr>
          <w:p w14:paraId="19028BD5" w14:textId="2206AC01" w:rsidR="00EC1838" w:rsidRPr="003470BA" w:rsidRDefault="00B35234" w:rsidP="0003054B">
            <w:pPr>
              <w:pStyle w:val="TableHeaders"/>
              <w:jc w:val="center"/>
            </w:pPr>
            <w:r>
              <w:t>Problem</w:t>
            </w:r>
          </w:p>
        </w:tc>
        <w:tc>
          <w:tcPr>
            <w:tcW w:w="838" w:type="dxa"/>
            <w:tcBorders>
              <w:top w:val="single" w:sz="4" w:space="0" w:color="FFFFFF" w:themeColor="background1"/>
              <w:left w:val="single" w:sz="4" w:space="0" w:color="FFFFFF" w:themeColor="background1"/>
              <w:bottom w:val="single" w:sz="8" w:space="0" w:color="BFBFBF" w:themeColor="background1" w:themeShade="BF"/>
              <w:right w:val="nil"/>
            </w:tcBorders>
            <w:shd w:val="clear" w:color="auto" w:fill="F2F2F2" w:themeFill="background1" w:themeFillShade="F2"/>
            <w:tcMar>
              <w:left w:w="58" w:type="dxa"/>
              <w:right w:w="58" w:type="dxa"/>
            </w:tcMar>
          </w:tcPr>
          <w:p w14:paraId="11BB3516" w14:textId="0D3A5800" w:rsidR="00EC1838" w:rsidRPr="003470BA" w:rsidRDefault="00B35234" w:rsidP="0003054B">
            <w:pPr>
              <w:pStyle w:val="TableHeaders"/>
              <w:jc w:val="center"/>
            </w:pPr>
            <w:r>
              <w:t>No Problem</w:t>
            </w:r>
          </w:p>
        </w:tc>
        <w:tc>
          <w:tcPr>
            <w:tcW w:w="838" w:type="dxa"/>
            <w:tcBorders>
              <w:top w:val="single" w:sz="4" w:space="0" w:color="FFFFFF" w:themeColor="background1"/>
              <w:left w:val="nil"/>
              <w:bottom w:val="single" w:sz="8" w:space="0" w:color="BFBFBF" w:themeColor="background1" w:themeShade="BF"/>
              <w:right w:val="single" w:sz="4" w:space="0" w:color="FFFFFF" w:themeColor="background1"/>
            </w:tcBorders>
            <w:tcMar>
              <w:left w:w="58" w:type="dxa"/>
              <w:right w:w="58" w:type="dxa"/>
            </w:tcMar>
          </w:tcPr>
          <w:p w14:paraId="55F04423" w14:textId="65DE271F" w:rsidR="00EC1838" w:rsidRPr="003470BA" w:rsidRDefault="00B35234" w:rsidP="0003054B">
            <w:pPr>
              <w:pStyle w:val="TableHeaders"/>
              <w:jc w:val="center"/>
            </w:pPr>
            <w:r>
              <w:t>Problem</w:t>
            </w:r>
          </w:p>
        </w:tc>
        <w:tc>
          <w:tcPr>
            <w:tcW w:w="838" w:type="dxa"/>
            <w:tcBorders>
              <w:top w:val="single" w:sz="4" w:space="0" w:color="FFFFFF" w:themeColor="background1"/>
              <w:left w:val="single" w:sz="4" w:space="0" w:color="FFFFFF" w:themeColor="background1"/>
              <w:bottom w:val="single" w:sz="8" w:space="0" w:color="BFBFBF" w:themeColor="background1" w:themeShade="BF"/>
              <w:right w:val="dotted" w:sz="8" w:space="0" w:color="BFBFBF" w:themeColor="background1" w:themeShade="BF"/>
            </w:tcBorders>
            <w:tcMar>
              <w:left w:w="58" w:type="dxa"/>
              <w:right w:w="58" w:type="dxa"/>
            </w:tcMar>
          </w:tcPr>
          <w:p w14:paraId="7D72E6ED" w14:textId="676B019D" w:rsidR="00EC1838" w:rsidRPr="003470BA" w:rsidRDefault="00B35234" w:rsidP="0003054B">
            <w:pPr>
              <w:pStyle w:val="TableHeaders"/>
              <w:jc w:val="center"/>
            </w:pPr>
            <w:r>
              <w:t>No Problem</w:t>
            </w:r>
          </w:p>
        </w:tc>
        <w:tc>
          <w:tcPr>
            <w:tcW w:w="2313" w:type="dxa"/>
            <w:tcBorders>
              <w:top w:val="single" w:sz="4" w:space="0" w:color="FFFFFF" w:themeColor="background1"/>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3C1207BC" w14:textId="64AFEE50" w:rsidR="00EC1838" w:rsidRPr="003470BA" w:rsidRDefault="00BD0DDF" w:rsidP="0003054B">
            <w:pPr>
              <w:pStyle w:val="TableHeaders"/>
            </w:pPr>
            <w:r>
              <w:t>Review</w:t>
            </w:r>
          </w:p>
        </w:tc>
        <w:tc>
          <w:tcPr>
            <w:tcW w:w="5305" w:type="dxa"/>
            <w:tcBorders>
              <w:top w:val="single" w:sz="4" w:space="0" w:color="FFFFFF" w:themeColor="background1"/>
              <w:left w:val="dotted" w:sz="8" w:space="0" w:color="BFBFBF" w:themeColor="background1" w:themeShade="BF"/>
              <w:bottom w:val="single" w:sz="8" w:space="0" w:color="BFBFBF" w:themeColor="background1" w:themeShade="BF"/>
              <w:right w:val="single" w:sz="4" w:space="0" w:color="BFBFBF" w:themeColor="background1" w:themeShade="BF"/>
            </w:tcBorders>
          </w:tcPr>
          <w:p w14:paraId="1ABF9808" w14:textId="7D16526E" w:rsidR="00EC1838" w:rsidRPr="003470BA" w:rsidRDefault="0003054B" w:rsidP="0003054B">
            <w:pPr>
              <w:pStyle w:val="TableHeaders"/>
            </w:pPr>
            <w:r>
              <w:t>Notes</w:t>
            </w:r>
          </w:p>
        </w:tc>
      </w:tr>
      <w:tr w:rsidR="003640B4" w:rsidRPr="003470BA" w14:paraId="00C0F1E4" w14:textId="7D98A7CF" w:rsidTr="002C0512">
        <w:trPr>
          <w:cantSplit/>
          <w:trHeight w:val="144"/>
        </w:trPr>
        <w:tc>
          <w:tcPr>
            <w:tcW w:w="838" w:type="dxa"/>
            <w:tcBorders>
              <w:top w:val="nil"/>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27872A95"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nil"/>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07795599"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54D57C4A" w14:textId="23F2C7BF"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1D0DF515" w14:textId="0E0AD4C0"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3B7FE412" w14:textId="62332DFE" w:rsidR="003640B4" w:rsidRPr="003470BA" w:rsidRDefault="003640B4" w:rsidP="00590C17">
            <w:pPr>
              <w:pStyle w:val="NoSpacing"/>
              <w:rPr>
                <w:rFonts w:cs="Segoe UI Symbol"/>
              </w:rPr>
            </w:pPr>
            <w:r w:rsidRPr="003470BA">
              <w:t>Eating, nutrition</w:t>
            </w:r>
            <w:r w:rsidRPr="003470BA">
              <w:rPr>
                <w:rStyle w:val="EndnoteReference"/>
              </w:rPr>
              <w:endnoteReference w:id="11"/>
            </w:r>
          </w:p>
        </w:tc>
        <w:tc>
          <w:tcPr>
            <w:tcW w:w="5305" w:type="dxa"/>
            <w:tcBorders>
              <w:top w:val="single" w:sz="8" w:space="0" w:color="BFBFBF" w:themeColor="background1" w:themeShade="BF"/>
              <w:left w:val="dotted" w:sz="8" w:space="0" w:color="BFBFBF" w:themeColor="background1" w:themeShade="BF"/>
              <w:bottom w:val="single" w:sz="4" w:space="0" w:color="FFFFFF" w:themeColor="background1"/>
              <w:right w:val="single" w:sz="4" w:space="0" w:color="BFBFBF" w:themeColor="background1" w:themeShade="BF"/>
            </w:tcBorders>
          </w:tcPr>
          <w:p w14:paraId="646ABA71" w14:textId="77777777" w:rsidR="003640B4" w:rsidRPr="003470BA" w:rsidRDefault="003640B4" w:rsidP="00590C17">
            <w:pPr>
              <w:pStyle w:val="NoSpacing"/>
            </w:pPr>
          </w:p>
        </w:tc>
      </w:tr>
      <w:tr w:rsidR="003640B4" w:rsidRPr="003470BA" w14:paraId="6B146DED" w14:textId="07308AAD" w:rsidTr="002C051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050C5A00"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45E55EE2"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0B75E1E0" w14:textId="519CB1B1"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4466F377" w14:textId="21EC9468"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3C96F2B3" w14:textId="50BFB40D" w:rsidR="003640B4" w:rsidRPr="003470BA" w:rsidRDefault="003640B4" w:rsidP="00590C17">
            <w:pPr>
              <w:pStyle w:val="NoSpacing"/>
              <w:rPr>
                <w:rFonts w:cs="Segoe UI Symbol"/>
              </w:rPr>
            </w:pPr>
            <w:r w:rsidRPr="003470BA">
              <w:t>Physical activity</w:t>
            </w:r>
            <w:r w:rsidRPr="003470BA">
              <w:rPr>
                <w:rStyle w:val="EndnoteReference"/>
              </w:rPr>
              <w:endnoteReference w:id="12"/>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6C44CF6F" w14:textId="77777777" w:rsidR="003640B4" w:rsidRPr="003470BA" w:rsidRDefault="003640B4" w:rsidP="00590C17">
            <w:pPr>
              <w:pStyle w:val="NoSpacing"/>
            </w:pPr>
          </w:p>
        </w:tc>
      </w:tr>
      <w:tr w:rsidR="003640B4" w:rsidRPr="003470BA" w14:paraId="02F87CFB" w14:textId="7AEC9293" w:rsidTr="002C051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09CA00D5"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258E95DD"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6A1818BF" w14:textId="64227600"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397A52F2" w14:textId="769E46B3"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24CCD58C" w14:textId="71AD8CB4" w:rsidR="003640B4" w:rsidRPr="003470BA" w:rsidRDefault="003640B4" w:rsidP="00590C17">
            <w:pPr>
              <w:pStyle w:val="NoSpacing"/>
              <w:rPr>
                <w:rFonts w:cs="Segoe UI Symbol"/>
              </w:rPr>
            </w:pPr>
            <w:r w:rsidRPr="003470BA">
              <w:t xml:space="preserve">Smoking, </w:t>
            </w:r>
            <w:r w:rsidR="00EF6BCC">
              <w:t>a</w:t>
            </w:r>
            <w:r w:rsidRPr="003470BA">
              <w:t xml:space="preserve">lcohol, </w:t>
            </w:r>
            <w:r w:rsidR="00EF6BCC">
              <w:t>d</w:t>
            </w:r>
            <w:r w:rsidRPr="003470BA">
              <w:t>rugs</w:t>
            </w:r>
            <w:r w:rsidRPr="003470BA">
              <w:rPr>
                <w:rStyle w:val="EndnoteReference"/>
              </w:rPr>
              <w:endnoteReference w:id="13"/>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60BFFCEC" w14:textId="77777777" w:rsidR="003640B4" w:rsidRPr="003470BA" w:rsidRDefault="003640B4" w:rsidP="00590C17">
            <w:pPr>
              <w:pStyle w:val="NoSpacing"/>
            </w:pPr>
          </w:p>
        </w:tc>
      </w:tr>
      <w:tr w:rsidR="003640B4" w:rsidRPr="003470BA" w14:paraId="781044AB" w14:textId="6E6F9D8D" w:rsidTr="002C051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11DF691A"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42CFBB9A"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365CD36B" w14:textId="14852C35"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22278CDC" w14:textId="429EE808"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6253975B" w14:textId="5A470D9C" w:rsidR="003640B4" w:rsidRPr="003470BA" w:rsidRDefault="003640B4" w:rsidP="00590C17">
            <w:pPr>
              <w:pStyle w:val="NoSpacing"/>
              <w:rPr>
                <w:rFonts w:cs="Segoe UI Symbol"/>
              </w:rPr>
            </w:pPr>
            <w:r w:rsidRPr="003470BA">
              <w:t>Safety</w:t>
            </w:r>
            <w:r w:rsidRPr="003470BA">
              <w:rPr>
                <w:rStyle w:val="EndnoteReference"/>
              </w:rPr>
              <w:endnoteReference w:id="14"/>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4AFC299A" w14:textId="77777777" w:rsidR="003640B4" w:rsidRPr="003470BA" w:rsidRDefault="003640B4" w:rsidP="00590C17">
            <w:pPr>
              <w:pStyle w:val="NoSpacing"/>
            </w:pPr>
          </w:p>
        </w:tc>
      </w:tr>
      <w:tr w:rsidR="003640B4" w:rsidRPr="003470BA" w14:paraId="7B7565A5" w14:textId="3DCEC580" w:rsidTr="002C051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23274BC9"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359314A5"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668BC160" w14:textId="3AF8AD80"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1A866C00" w14:textId="3091E502"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31E9F399" w14:textId="7851DBF1" w:rsidR="003640B4" w:rsidRPr="003470BA" w:rsidRDefault="003640B4" w:rsidP="00590C17">
            <w:pPr>
              <w:pStyle w:val="NoSpacing"/>
              <w:rPr>
                <w:rFonts w:cs="Segoe UI Symbol"/>
              </w:rPr>
            </w:pPr>
            <w:r w:rsidRPr="003470BA">
              <w:t>Sleep</w:t>
            </w:r>
            <w:r w:rsidRPr="003470BA">
              <w:rPr>
                <w:rStyle w:val="EndnoteReference"/>
              </w:rPr>
              <w:endnoteReference w:id="15"/>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407B8BB4" w14:textId="77777777" w:rsidR="003640B4" w:rsidRPr="003470BA" w:rsidRDefault="003640B4" w:rsidP="00590C17">
            <w:pPr>
              <w:pStyle w:val="NoSpacing"/>
            </w:pPr>
          </w:p>
        </w:tc>
      </w:tr>
      <w:tr w:rsidR="003640B4" w:rsidRPr="003470BA" w14:paraId="2D96D284" w14:textId="46D72D65" w:rsidTr="002C051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4979C577" w14:textId="7397C4A2"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5F9936B4" w14:textId="03D390F6"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13D47461" w14:textId="16142863"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588170AC" w14:textId="18EFB7D0"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78CC629A" w14:textId="5DC7E749" w:rsidR="003640B4" w:rsidRPr="003470BA" w:rsidRDefault="003640B4" w:rsidP="00590C17">
            <w:pPr>
              <w:pStyle w:val="NoSpacing"/>
              <w:rPr>
                <w:rFonts w:cs="Segoe UI Symbol"/>
              </w:rPr>
            </w:pPr>
            <w:r w:rsidRPr="003470BA">
              <w:t>Pain</w:t>
            </w:r>
            <w:r w:rsidRPr="003470BA">
              <w:rPr>
                <w:rStyle w:val="EndnoteReference"/>
              </w:rPr>
              <w:endnoteReference w:id="16"/>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47F562B8" w14:textId="77777777" w:rsidR="003640B4" w:rsidRPr="003470BA" w:rsidRDefault="003640B4" w:rsidP="00590C17">
            <w:pPr>
              <w:pStyle w:val="NoSpacing"/>
            </w:pPr>
          </w:p>
        </w:tc>
      </w:tr>
      <w:tr w:rsidR="003640B4" w:rsidRPr="003470BA" w14:paraId="287431BE" w14:textId="0C594AF2" w:rsidTr="002C051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58487CF0" w14:textId="205F6900"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6FEDF740" w14:textId="666CE5C9"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173339F4" w14:textId="16866AFF"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2343081B" w14:textId="0BE6B3EB"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5D9AABB4" w14:textId="0C8B4696" w:rsidR="003640B4" w:rsidRPr="003470BA" w:rsidRDefault="003640B4" w:rsidP="00590C17">
            <w:pPr>
              <w:pStyle w:val="NoSpacing"/>
            </w:pPr>
            <w:r w:rsidRPr="003470BA">
              <w:t>Head and neck</w:t>
            </w:r>
            <w:r w:rsidRPr="003470BA">
              <w:rPr>
                <w:rStyle w:val="EndnoteReference"/>
              </w:rPr>
              <w:endnoteReference w:id="17"/>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589CEBAC" w14:textId="77777777" w:rsidR="003640B4" w:rsidRPr="003470BA" w:rsidRDefault="003640B4" w:rsidP="00590C17">
            <w:pPr>
              <w:pStyle w:val="NoSpacing"/>
            </w:pPr>
          </w:p>
        </w:tc>
      </w:tr>
      <w:tr w:rsidR="003640B4" w:rsidRPr="003470BA" w14:paraId="4C6AB351" w14:textId="1D3C0C08" w:rsidTr="002C051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61807B5E" w14:textId="074BD914"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1909B625" w14:textId="7AB8479A"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249D599F" w14:textId="51C2CAAC"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4383FABC" w14:textId="6D0AA3C4"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3936CD32" w14:textId="21328B9E" w:rsidR="003640B4" w:rsidRPr="003470BA" w:rsidRDefault="003640B4" w:rsidP="00590C17">
            <w:pPr>
              <w:pStyle w:val="NoSpacing"/>
              <w:rPr>
                <w:rFonts w:cs="Segoe UI Symbol"/>
              </w:rPr>
            </w:pPr>
            <w:r w:rsidRPr="003470BA">
              <w:t xml:space="preserve">Most recent: dental  (YY) _ _ </w:t>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23A64B60" w14:textId="77777777" w:rsidR="003640B4" w:rsidRPr="003470BA" w:rsidRDefault="003640B4" w:rsidP="00590C17">
            <w:pPr>
              <w:pStyle w:val="NoSpacing"/>
            </w:pPr>
          </w:p>
        </w:tc>
      </w:tr>
      <w:tr w:rsidR="003640B4" w:rsidRPr="003470BA" w14:paraId="7FE5E44C" w14:textId="46D4AFD9" w:rsidTr="002C051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61C97422"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08792CAC"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2BB380AD" w14:textId="58576502"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205C3D8C" w14:textId="23FE1656"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0DB1EF64" w14:textId="779F5BC1" w:rsidR="003640B4" w:rsidRPr="003470BA" w:rsidRDefault="003640B4" w:rsidP="00590C17">
            <w:pPr>
              <w:pStyle w:val="NoSpacing"/>
              <w:rPr>
                <w:rFonts w:cs="Segoe UI Symbol"/>
              </w:rPr>
            </w:pPr>
            <w:r w:rsidRPr="003470BA">
              <w:t xml:space="preserve">Most recent vision (YY) _ _ </w:t>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686AE2FC" w14:textId="77777777" w:rsidR="003640B4" w:rsidRPr="003470BA" w:rsidRDefault="003640B4" w:rsidP="00590C17">
            <w:pPr>
              <w:pStyle w:val="NoSpacing"/>
            </w:pPr>
          </w:p>
        </w:tc>
      </w:tr>
      <w:tr w:rsidR="003640B4" w:rsidRPr="003470BA" w14:paraId="00731B63" w14:textId="2768EC38" w:rsidTr="002C051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31743185"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519C832C"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7C61103D" w14:textId="040A7649"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32B8EB86" w14:textId="63670FC8"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7B3034CA" w14:textId="28DD0D48" w:rsidR="003640B4" w:rsidRPr="003470BA" w:rsidRDefault="003640B4" w:rsidP="00590C17">
            <w:pPr>
              <w:pStyle w:val="NoSpacing"/>
            </w:pPr>
            <w:r w:rsidRPr="003470BA">
              <w:t>Most recent audiology (YY) _ _</w:t>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7F3AEBCB" w14:textId="77777777" w:rsidR="003640B4" w:rsidRPr="003470BA" w:rsidRDefault="003640B4" w:rsidP="00590C17">
            <w:pPr>
              <w:pStyle w:val="NoSpacing"/>
            </w:pPr>
          </w:p>
        </w:tc>
      </w:tr>
      <w:tr w:rsidR="003640B4" w:rsidRPr="003470BA" w14:paraId="05A5D460" w14:textId="554F6F54" w:rsidTr="002C051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5AEE4449"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01BE7B84"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0395317A" w14:textId="2BCE9D28"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0D97C37B" w14:textId="4F8A66A8"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12330BF6" w14:textId="0308E6ED" w:rsidR="003640B4" w:rsidRPr="003470BA" w:rsidRDefault="003640B4" w:rsidP="00590C17">
            <w:pPr>
              <w:pStyle w:val="NoSpacing"/>
              <w:rPr>
                <w:rFonts w:cs="Segoe UI Symbol"/>
              </w:rPr>
            </w:pPr>
            <w:r w:rsidRPr="003470BA">
              <w:t>Cardiovascular</w:t>
            </w:r>
            <w:r w:rsidRPr="003470BA">
              <w:rPr>
                <w:rStyle w:val="EndnoteReference"/>
              </w:rPr>
              <w:endnoteReference w:id="18"/>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636EC500" w14:textId="77777777" w:rsidR="003640B4" w:rsidRPr="003470BA" w:rsidRDefault="003640B4" w:rsidP="00590C17">
            <w:pPr>
              <w:pStyle w:val="NoSpacing"/>
            </w:pPr>
          </w:p>
        </w:tc>
      </w:tr>
      <w:tr w:rsidR="003640B4" w:rsidRPr="003470BA" w14:paraId="24A9F4AC" w14:textId="608608D6" w:rsidTr="002C051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45D1078B"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7F1B40D3"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5392DCFB" w14:textId="592AD18D"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44346C9D" w14:textId="11FE83AF"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2A379E4D" w14:textId="63DD5412" w:rsidR="003640B4" w:rsidRPr="003470BA" w:rsidRDefault="003640B4" w:rsidP="00590C17">
            <w:pPr>
              <w:pStyle w:val="NoSpacing"/>
              <w:rPr>
                <w:rFonts w:cs="Segoe UI Symbol"/>
              </w:rPr>
            </w:pPr>
            <w:r w:rsidRPr="003470BA">
              <w:t>Respiratory</w:t>
            </w:r>
            <w:r w:rsidRPr="003470BA">
              <w:rPr>
                <w:rStyle w:val="EndnoteReference"/>
              </w:rPr>
              <w:endnoteReference w:id="19"/>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110DEB1D" w14:textId="77777777" w:rsidR="003640B4" w:rsidRPr="003470BA" w:rsidRDefault="003640B4" w:rsidP="00590C17">
            <w:pPr>
              <w:pStyle w:val="NoSpacing"/>
            </w:pPr>
          </w:p>
        </w:tc>
      </w:tr>
      <w:tr w:rsidR="003640B4" w:rsidRPr="003470BA" w14:paraId="7DCC1784" w14:textId="6428252D" w:rsidTr="002C051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271C3FD4"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01C97D96"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29E3A79B" w14:textId="034E9F83"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1DA19D0F" w14:textId="06F49C94"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5C131852" w14:textId="176E7F77" w:rsidR="003640B4" w:rsidRPr="003470BA" w:rsidRDefault="003640B4" w:rsidP="00590C17">
            <w:pPr>
              <w:pStyle w:val="NoSpacing"/>
              <w:rPr>
                <w:rFonts w:cs="Segoe UI Symbol"/>
              </w:rPr>
            </w:pPr>
            <w:r w:rsidRPr="003470BA">
              <w:t>Gastrointestinal</w:t>
            </w:r>
            <w:r w:rsidRPr="003470BA">
              <w:rPr>
                <w:rStyle w:val="EndnoteReference"/>
              </w:rPr>
              <w:endnoteReference w:id="20"/>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7327285B" w14:textId="77777777" w:rsidR="003640B4" w:rsidRPr="003470BA" w:rsidRDefault="003640B4" w:rsidP="00590C17">
            <w:pPr>
              <w:pStyle w:val="NoSpacing"/>
            </w:pPr>
          </w:p>
        </w:tc>
      </w:tr>
      <w:tr w:rsidR="003640B4" w:rsidRPr="003470BA" w14:paraId="58536AA2" w14:textId="43B5FDA1" w:rsidTr="002C051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19AF0C15"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6B6F2F1C"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236F28D4" w14:textId="1665098F"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7A7E16F7" w14:textId="6D39A00F"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52440CA6" w14:textId="325A9661" w:rsidR="003640B4" w:rsidRPr="003470BA" w:rsidRDefault="003640B4" w:rsidP="00590C17">
            <w:pPr>
              <w:pStyle w:val="NoSpacing"/>
              <w:rPr>
                <w:rFonts w:cs="Segoe UI Symbol"/>
              </w:rPr>
            </w:pPr>
            <w:r w:rsidRPr="003470BA">
              <w:t>Genito-urinary</w:t>
            </w:r>
            <w:r w:rsidRPr="003470BA">
              <w:rPr>
                <w:rStyle w:val="EndnoteReference"/>
              </w:rPr>
              <w:endnoteReference w:id="21"/>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37CFEC2B" w14:textId="77777777" w:rsidR="003640B4" w:rsidRPr="003470BA" w:rsidRDefault="003640B4" w:rsidP="00590C17">
            <w:pPr>
              <w:pStyle w:val="NoSpacing"/>
            </w:pPr>
          </w:p>
        </w:tc>
      </w:tr>
      <w:tr w:rsidR="003640B4" w:rsidRPr="003470BA" w14:paraId="2411EC0D" w14:textId="2A3F442B" w:rsidTr="002C051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132E9E0C"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7E71F9FD"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7590519F" w14:textId="5CCAC50E"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3C984490" w14:textId="358E1A76"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388B0F45" w14:textId="29FBCA5B" w:rsidR="003640B4" w:rsidRPr="003470BA" w:rsidRDefault="003640B4" w:rsidP="00590C17">
            <w:pPr>
              <w:pStyle w:val="NoSpacing"/>
              <w:rPr>
                <w:rFonts w:cs="Segoe UI Symbol"/>
              </w:rPr>
            </w:pPr>
            <w:r w:rsidRPr="003470BA">
              <w:t xml:space="preserve">Sexual </w:t>
            </w:r>
            <w:r w:rsidR="00EF6BCC">
              <w:t>h</w:t>
            </w:r>
            <w:r w:rsidRPr="003470BA">
              <w:t>ealth</w:t>
            </w:r>
            <w:r w:rsidRPr="003470BA">
              <w:rPr>
                <w:rStyle w:val="EndnoteReference"/>
              </w:rPr>
              <w:endnoteReference w:id="22"/>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5826F7D1" w14:textId="77777777" w:rsidR="003640B4" w:rsidRPr="003470BA" w:rsidRDefault="003640B4" w:rsidP="00590C17">
            <w:pPr>
              <w:pStyle w:val="NoSpacing"/>
            </w:pPr>
          </w:p>
        </w:tc>
      </w:tr>
      <w:tr w:rsidR="003640B4" w:rsidRPr="003470BA" w14:paraId="5DE4E1EA" w14:textId="4C5E7439" w:rsidTr="002C051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5E996B43"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3EB4E08D"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3C175AB0" w14:textId="5A5BD61B"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66FEE721" w14:textId="5AEFCE05"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5BF5CAFB" w14:textId="2946444B" w:rsidR="003640B4" w:rsidRPr="003470BA" w:rsidRDefault="003640B4" w:rsidP="00590C17">
            <w:pPr>
              <w:pStyle w:val="NoSpacing"/>
              <w:rPr>
                <w:rFonts w:cs="Segoe UI Symbol"/>
              </w:rPr>
            </w:pPr>
            <w:r w:rsidRPr="003470BA">
              <w:t>Musculoskeletal</w:t>
            </w:r>
            <w:r w:rsidRPr="003470BA">
              <w:rPr>
                <w:rStyle w:val="EndnoteReference"/>
              </w:rPr>
              <w:endnoteReference w:id="23"/>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5E9D8865" w14:textId="77777777" w:rsidR="003640B4" w:rsidRPr="003470BA" w:rsidRDefault="003640B4" w:rsidP="00590C17">
            <w:pPr>
              <w:pStyle w:val="NoSpacing"/>
            </w:pPr>
          </w:p>
        </w:tc>
      </w:tr>
      <w:tr w:rsidR="003640B4" w:rsidRPr="003470BA" w14:paraId="4BE1D663" w14:textId="56B9A5EE" w:rsidTr="002C051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30BBB470"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2C05EBC7"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7A3308E2" w14:textId="1830E5F0"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12E8ACE8" w14:textId="28BE2C56"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033DFBDA" w14:textId="391682B8" w:rsidR="003640B4" w:rsidRPr="003470BA" w:rsidRDefault="003640B4" w:rsidP="00590C17">
            <w:pPr>
              <w:pStyle w:val="NoSpacing"/>
              <w:rPr>
                <w:rFonts w:cs="Segoe UI Symbol"/>
              </w:rPr>
            </w:pPr>
            <w:r w:rsidRPr="003470BA">
              <w:t>Skin</w:t>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2B1F6E42" w14:textId="77777777" w:rsidR="003640B4" w:rsidRPr="003470BA" w:rsidRDefault="003640B4" w:rsidP="00590C17">
            <w:pPr>
              <w:pStyle w:val="NoSpacing"/>
            </w:pPr>
          </w:p>
        </w:tc>
      </w:tr>
      <w:tr w:rsidR="003640B4" w:rsidRPr="003470BA" w14:paraId="438F1D09" w14:textId="55E03B1E" w:rsidTr="002C051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31EA7B4B"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0B88B23C"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162A4DF0" w14:textId="791F7C05"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6FFCB51E" w14:textId="53ABA630"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4CBD444C" w14:textId="2FA1A303" w:rsidR="003640B4" w:rsidRPr="003470BA" w:rsidRDefault="003640B4" w:rsidP="00590C17">
            <w:pPr>
              <w:pStyle w:val="NoSpacing"/>
            </w:pPr>
            <w:r w:rsidRPr="003470BA">
              <w:t>Neurological</w:t>
            </w:r>
            <w:r w:rsidRPr="003470BA">
              <w:rPr>
                <w:rStyle w:val="EndnoteReference"/>
              </w:rPr>
              <w:endnoteReference w:id="24"/>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1648D8D3" w14:textId="77777777" w:rsidR="003640B4" w:rsidRPr="003470BA" w:rsidRDefault="003640B4" w:rsidP="00590C17">
            <w:pPr>
              <w:pStyle w:val="NoSpacing"/>
            </w:pPr>
          </w:p>
        </w:tc>
      </w:tr>
      <w:tr w:rsidR="003640B4" w:rsidRPr="003470BA" w14:paraId="70328592" w14:textId="0E633887" w:rsidTr="002C051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6459C15A"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625B86CA"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6C4EDF34" w14:textId="333D48F8"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28D5B658" w14:textId="1B0A7660"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29C1098A" w14:textId="62486145" w:rsidR="003640B4" w:rsidRPr="003470BA" w:rsidRDefault="003640B4" w:rsidP="00590C17">
            <w:pPr>
              <w:pStyle w:val="NoSpacing"/>
            </w:pPr>
            <w:r w:rsidRPr="003470BA">
              <w:t>Endocrine</w:t>
            </w:r>
            <w:r w:rsidRPr="003470BA">
              <w:rPr>
                <w:rStyle w:val="EndnoteReference"/>
              </w:rPr>
              <w:endnoteReference w:id="25"/>
            </w:r>
          </w:p>
        </w:tc>
        <w:tc>
          <w:tcPr>
            <w:tcW w:w="5305" w:type="dxa"/>
            <w:tcBorders>
              <w:top w:val="single" w:sz="4" w:space="0" w:color="FFFFFF" w:themeColor="background1"/>
              <w:left w:val="dotted" w:sz="8" w:space="0" w:color="BFBFBF" w:themeColor="background1" w:themeShade="BF"/>
              <w:bottom w:val="single" w:sz="4" w:space="0" w:color="BFBFBF" w:themeColor="background1" w:themeShade="BF"/>
              <w:right w:val="single" w:sz="4" w:space="0" w:color="BFBFBF" w:themeColor="background1" w:themeShade="BF"/>
            </w:tcBorders>
          </w:tcPr>
          <w:p w14:paraId="0F7C3B22" w14:textId="77777777" w:rsidR="003640B4" w:rsidRPr="003470BA" w:rsidRDefault="003640B4" w:rsidP="00590C17">
            <w:pPr>
              <w:pStyle w:val="NoSpacing"/>
            </w:pPr>
          </w:p>
        </w:tc>
      </w:tr>
      <w:tr w:rsidR="003640B4" w:rsidRPr="003470BA" w14:paraId="15D2FFBF" w14:textId="2101E561" w:rsidTr="002C051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5D3B28CD"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41991691"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29038734" w14:textId="7BD9C0B4"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07669728" w14:textId="26DB5F0A"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05C19507" w14:textId="346B640D" w:rsidR="003640B4" w:rsidRPr="003470BA" w:rsidRDefault="003640B4" w:rsidP="00590C17">
            <w:pPr>
              <w:pStyle w:val="NoSpacing"/>
            </w:pPr>
            <w:r w:rsidRPr="003470BA">
              <w:t>Infections</w:t>
            </w:r>
            <w:r w:rsidRPr="003470BA">
              <w:rPr>
                <w:rStyle w:val="EndnoteReference"/>
              </w:rPr>
              <w:endnoteReference w:id="26"/>
            </w:r>
          </w:p>
        </w:tc>
        <w:tc>
          <w:tcPr>
            <w:tcW w:w="5305" w:type="dxa"/>
            <w:tcBorders>
              <w:top w:val="single" w:sz="4" w:space="0" w:color="BFBFBF" w:themeColor="background1" w:themeShade="BF"/>
              <w:left w:val="dotted" w:sz="8" w:space="0" w:color="BFBFBF" w:themeColor="background1" w:themeShade="BF"/>
              <w:bottom w:val="single" w:sz="4" w:space="0" w:color="FFFFFF" w:themeColor="background1"/>
              <w:right w:val="single" w:sz="4" w:space="0" w:color="BFBFBF" w:themeColor="background1" w:themeShade="BF"/>
            </w:tcBorders>
          </w:tcPr>
          <w:p w14:paraId="60C98431" w14:textId="77777777" w:rsidR="003640B4" w:rsidRPr="003470BA" w:rsidRDefault="003640B4" w:rsidP="00590C17">
            <w:pPr>
              <w:pStyle w:val="NoSpacing"/>
            </w:pPr>
          </w:p>
        </w:tc>
      </w:tr>
      <w:tr w:rsidR="003640B4" w:rsidRPr="003470BA" w14:paraId="28CDD586" w14:textId="77165500" w:rsidTr="002C051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5AAA1255" w14:textId="77777777" w:rsidR="003640B4" w:rsidRPr="003470BA" w:rsidRDefault="003640B4" w:rsidP="00E9742C">
            <w:pPr>
              <w:pStyle w:val="NoSpacing"/>
              <w:jc w:val="center"/>
            </w:pPr>
            <w:r w:rsidRPr="003470BA">
              <w:rPr>
                <w:rFonts w:ascii="Segoe UI Symbol" w:hAnsi="Segoe UI Symbol" w:cs="Segoe UI Symbol"/>
              </w:rPr>
              <w:lastRenderedPageBreak/>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498E3FD0"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7132EED8" w14:textId="65318A90"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4A01BDF8" w14:textId="13700EA6"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3FE1A358" w14:textId="087023DA" w:rsidR="003640B4" w:rsidRPr="003470BA" w:rsidRDefault="003640B4" w:rsidP="00590C17">
            <w:pPr>
              <w:pStyle w:val="NoSpacing"/>
            </w:pPr>
            <w:r w:rsidRPr="003470BA">
              <w:t>Cancer screening</w:t>
            </w:r>
            <w:r w:rsidRPr="003470BA">
              <w:rPr>
                <w:rStyle w:val="EndnoteReference"/>
              </w:rPr>
              <w:endnoteReference w:id="27"/>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2EC7E4CD" w14:textId="77777777" w:rsidR="003640B4" w:rsidRPr="003470BA" w:rsidRDefault="003640B4" w:rsidP="00590C17">
            <w:pPr>
              <w:pStyle w:val="NoSpacing"/>
            </w:pPr>
          </w:p>
        </w:tc>
      </w:tr>
      <w:tr w:rsidR="003640B4" w:rsidRPr="003470BA" w14:paraId="4F3D47E4" w14:textId="0276B53E" w:rsidTr="002C051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7B853A50"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411AF796"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42991E51" w14:textId="7B952815"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072CE7B0" w14:textId="540457EF"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60C111BE" w14:textId="7DF82162" w:rsidR="003640B4" w:rsidRPr="003470BA" w:rsidRDefault="003640B4" w:rsidP="00590C17">
            <w:pPr>
              <w:pStyle w:val="NoSpacing"/>
            </w:pPr>
            <w:r w:rsidRPr="003470BA">
              <w:t>Mental health</w:t>
            </w:r>
            <w:r w:rsidRPr="003470BA">
              <w:rPr>
                <w:rStyle w:val="EndnoteReference"/>
              </w:rPr>
              <w:endnoteReference w:id="28"/>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1F13C811" w14:textId="77777777" w:rsidR="003640B4" w:rsidRPr="003470BA" w:rsidRDefault="003640B4" w:rsidP="00590C17">
            <w:pPr>
              <w:pStyle w:val="NoSpacing"/>
            </w:pPr>
          </w:p>
        </w:tc>
      </w:tr>
      <w:tr w:rsidR="003640B4" w:rsidRPr="003470BA" w14:paraId="059C6876" w14:textId="5E4C576E" w:rsidTr="002C0512">
        <w:trPr>
          <w:trHeight w:val="187"/>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7CFBD7FB"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6499B670"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77F8C312" w14:textId="4D930FD0"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1D608852" w14:textId="2DF77DE0"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1B5A7228" w14:textId="50320B46" w:rsidR="003640B4" w:rsidRPr="003470BA" w:rsidRDefault="003640B4" w:rsidP="00590C17">
            <w:pPr>
              <w:pStyle w:val="NoSpacing"/>
            </w:pPr>
            <w:proofErr w:type="spellStart"/>
            <w:r w:rsidRPr="003470BA">
              <w:t>Behaviours</w:t>
            </w:r>
            <w:proofErr w:type="spellEnd"/>
            <w:r w:rsidRPr="003470BA">
              <w:t xml:space="preserve"> that challenge</w:t>
            </w:r>
            <w:r w:rsidRPr="003470BA">
              <w:rPr>
                <w:rStyle w:val="EndnoteReference"/>
              </w:rPr>
              <w:endnoteReference w:id="29"/>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31C305C8" w14:textId="77777777" w:rsidR="003640B4" w:rsidRPr="003470BA" w:rsidRDefault="003640B4" w:rsidP="00590C17">
            <w:pPr>
              <w:pStyle w:val="NoSpacing"/>
            </w:pPr>
          </w:p>
        </w:tc>
      </w:tr>
      <w:tr w:rsidR="003640B4" w:rsidRPr="003470BA" w14:paraId="3C5C9915" w14:textId="4B8AD061" w:rsidTr="002C0512">
        <w:trPr>
          <w:trHeight w:val="187"/>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5C6038E1"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7272EA8C"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3D9D02C2" w14:textId="7037761B"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4B7F96BB" w14:textId="0FDB64FA"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78C65DFF" w14:textId="00C5B16C" w:rsidR="003640B4" w:rsidRPr="003470BA" w:rsidRDefault="003640B4" w:rsidP="00590C17">
            <w:pPr>
              <w:pStyle w:val="NoSpacing"/>
            </w:pPr>
            <w:r w:rsidRPr="003470BA">
              <w:t>Dementia</w:t>
            </w:r>
            <w:r w:rsidRPr="003470BA">
              <w:rPr>
                <w:rStyle w:val="EndnoteReference"/>
              </w:rPr>
              <w:endnoteReference w:id="30"/>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2768F062" w14:textId="77777777" w:rsidR="003640B4" w:rsidRPr="003470BA" w:rsidRDefault="003640B4" w:rsidP="00590C17">
            <w:pPr>
              <w:pStyle w:val="NoSpacing"/>
            </w:pPr>
          </w:p>
        </w:tc>
      </w:tr>
      <w:tr w:rsidR="003640B4" w:rsidRPr="003470BA" w14:paraId="126180DD" w14:textId="6BE253C4" w:rsidTr="002C0512">
        <w:trPr>
          <w:trHeight w:val="187"/>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47699105"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37ED5737"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2737B020" w14:textId="7524AC7B"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1E6C789E" w14:textId="7C8D480F"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425C19B1" w14:textId="3B8ECD5D" w:rsidR="003640B4" w:rsidRPr="003470BA" w:rsidRDefault="003640B4" w:rsidP="00590C17">
            <w:pPr>
              <w:pStyle w:val="NoSpacing"/>
            </w:pPr>
            <w:r w:rsidRPr="003470BA">
              <w:t>Life</w:t>
            </w:r>
            <w:r w:rsidR="00EF6BCC">
              <w:t xml:space="preserve"> t</w:t>
            </w:r>
            <w:r w:rsidRPr="003470BA">
              <w:t>ransitions</w:t>
            </w:r>
            <w:r w:rsidRPr="003470BA">
              <w:rPr>
                <w:rStyle w:val="EndnoteReference"/>
              </w:rPr>
              <w:endnoteReference w:id="31"/>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64B4649D" w14:textId="77777777" w:rsidR="003640B4" w:rsidRPr="003470BA" w:rsidRDefault="003640B4" w:rsidP="00590C17">
            <w:pPr>
              <w:pStyle w:val="NoSpacing"/>
            </w:pPr>
          </w:p>
        </w:tc>
      </w:tr>
      <w:tr w:rsidR="003640B4" w:rsidRPr="003470BA" w14:paraId="447BB248" w14:textId="0557835A" w:rsidTr="002C0512">
        <w:trPr>
          <w:trHeight w:val="187"/>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419950C9"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31BD1932"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3E7C5567" w14:textId="03A3A8E8"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42E519C6" w14:textId="0B574125"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6A1A9419" w14:textId="27E7FCD0" w:rsidR="003640B4" w:rsidRPr="003470BA" w:rsidRDefault="003640B4" w:rsidP="00590C17">
            <w:pPr>
              <w:pStyle w:val="NoSpacing"/>
            </w:pPr>
            <w:r w:rsidRPr="003470BA">
              <w:t>Abuse, exploitation, neglect</w:t>
            </w:r>
            <w:r w:rsidRPr="003470BA">
              <w:rPr>
                <w:rStyle w:val="EndnoteReference"/>
              </w:rPr>
              <w:endnoteReference w:id="32"/>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0956B56B" w14:textId="77777777" w:rsidR="003640B4" w:rsidRPr="003470BA" w:rsidRDefault="003640B4" w:rsidP="00590C17">
            <w:pPr>
              <w:pStyle w:val="NoSpacing"/>
            </w:pPr>
          </w:p>
        </w:tc>
      </w:tr>
      <w:tr w:rsidR="003640B4" w:rsidRPr="003470BA" w14:paraId="68CDC88E" w14:textId="7C173F67" w:rsidTr="002C0512">
        <w:trPr>
          <w:trHeight w:val="187"/>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58734767"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59870CB0"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2CFEA6B6" w14:textId="7AD951A1"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404E67BD" w14:textId="4F4D2B90"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1AEE8C6A" w14:textId="5B92409D" w:rsidR="003640B4" w:rsidRPr="003470BA" w:rsidRDefault="003640B4" w:rsidP="00590C17">
            <w:pPr>
              <w:pStyle w:val="NoSpacing"/>
            </w:pPr>
            <w:r w:rsidRPr="003470BA">
              <w:t>Caregiver stress</w:t>
            </w:r>
            <w:r w:rsidRPr="003470BA">
              <w:rPr>
                <w:rStyle w:val="EndnoteReference"/>
              </w:rPr>
              <w:endnoteReference w:id="33"/>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22E83B2B" w14:textId="77777777" w:rsidR="003640B4" w:rsidRPr="003470BA" w:rsidRDefault="003640B4" w:rsidP="00590C17">
            <w:pPr>
              <w:pStyle w:val="NoSpacing"/>
            </w:pPr>
          </w:p>
        </w:tc>
      </w:tr>
      <w:tr w:rsidR="003640B4" w:rsidRPr="003470BA" w14:paraId="6C98B838" w14:textId="668ED505" w:rsidTr="002C0512">
        <w:trPr>
          <w:trHeight w:val="187"/>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3993D317"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7715FB95"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2161885B" w14:textId="62B7746D"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35B8BD09" w14:textId="4BCF59C9"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0B38E208" w14:textId="6A3475E2" w:rsidR="003640B4" w:rsidRPr="003470BA" w:rsidRDefault="003640B4" w:rsidP="00590C17">
            <w:pPr>
              <w:pStyle w:val="NoSpacing"/>
            </w:pPr>
            <w:r w:rsidRPr="003470BA">
              <w:t>Review medications</w:t>
            </w:r>
            <w:r w:rsidRPr="003470BA">
              <w:rPr>
                <w:rStyle w:val="EndnoteReference"/>
              </w:rPr>
              <w:endnoteReference w:id="34"/>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108F096B" w14:textId="77777777" w:rsidR="003640B4" w:rsidRPr="003470BA" w:rsidRDefault="003640B4" w:rsidP="00590C17">
            <w:pPr>
              <w:pStyle w:val="NoSpacing"/>
            </w:pPr>
          </w:p>
        </w:tc>
      </w:tr>
      <w:tr w:rsidR="003640B4" w:rsidRPr="003470BA" w14:paraId="0B00CAD1" w14:textId="5EFD18D3" w:rsidTr="002C0512">
        <w:trPr>
          <w:trHeight w:val="187"/>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39E0282B"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6771BBC8"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4" w:space="0" w:color="BFBFBF" w:themeColor="background1" w:themeShade="BF"/>
              <w:right w:val="dotted" w:sz="8" w:space="0" w:color="BFBFBF" w:themeColor="background1" w:themeShade="BF"/>
            </w:tcBorders>
            <w:tcMar>
              <w:left w:w="58" w:type="dxa"/>
              <w:right w:w="58" w:type="dxa"/>
            </w:tcMar>
          </w:tcPr>
          <w:p w14:paraId="113DD069" w14:textId="5CC83AD5"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4" w:space="0" w:color="BFBFBF" w:themeColor="background1" w:themeShade="BF"/>
              <w:right w:val="dotted" w:sz="8" w:space="0" w:color="BFBFBF" w:themeColor="background1" w:themeShade="BF"/>
            </w:tcBorders>
            <w:tcMar>
              <w:left w:w="58" w:type="dxa"/>
              <w:right w:w="58" w:type="dxa"/>
            </w:tcMar>
          </w:tcPr>
          <w:p w14:paraId="0B70FD14" w14:textId="14C32CCF"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08A98CD6" w14:textId="3FBD70BE" w:rsidR="003640B4" w:rsidRPr="003470BA" w:rsidRDefault="003640B4" w:rsidP="00590C17">
            <w:pPr>
              <w:pStyle w:val="NoSpacing"/>
            </w:pPr>
            <w:r w:rsidRPr="003470BA">
              <w:t>Screening/prevention reviewed</w:t>
            </w:r>
            <w:r w:rsidRPr="003470BA">
              <w:rPr>
                <w:rStyle w:val="EndnoteReference"/>
              </w:rPr>
              <w:endnoteReference w:id="35"/>
            </w:r>
          </w:p>
        </w:tc>
        <w:tc>
          <w:tcPr>
            <w:tcW w:w="5305"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2EAE458C" w14:textId="77777777" w:rsidR="003640B4" w:rsidRPr="003470BA" w:rsidRDefault="003640B4" w:rsidP="00590C17">
            <w:pPr>
              <w:pStyle w:val="NoSpacing"/>
            </w:pPr>
          </w:p>
        </w:tc>
      </w:tr>
      <w:tr w:rsidR="003640B4" w:rsidRPr="003470BA" w14:paraId="04AC0E5C" w14:textId="5414A730" w:rsidTr="002C0512">
        <w:trPr>
          <w:trHeight w:val="187"/>
        </w:trPr>
        <w:tc>
          <w:tcPr>
            <w:tcW w:w="838" w:type="dxa"/>
            <w:tcBorders>
              <w:top w:val="single" w:sz="8" w:space="0" w:color="BFBFBF" w:themeColor="background1" w:themeShade="BF"/>
              <w:left w:val="single" w:sz="4" w:space="0" w:color="BFBFBF" w:themeColor="background1" w:themeShade="BF"/>
              <w:bottom w:val="single" w:sz="4"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38715E1C"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4" w:space="0" w:color="BFBFBF" w:themeColor="background1" w:themeShade="BF"/>
              <w:right w:val="nil"/>
            </w:tcBorders>
            <w:shd w:val="clear" w:color="auto" w:fill="F2F2F2" w:themeFill="background1" w:themeFillShade="F2"/>
            <w:tcMar>
              <w:left w:w="58" w:type="dxa"/>
              <w:right w:w="58" w:type="dxa"/>
            </w:tcMar>
          </w:tcPr>
          <w:p w14:paraId="70343C20"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nil"/>
              <w:bottom w:val="single" w:sz="4" w:space="0" w:color="BFBFBF" w:themeColor="background1" w:themeShade="BF"/>
              <w:right w:val="dotted" w:sz="8" w:space="0" w:color="BFBFBF" w:themeColor="background1" w:themeShade="BF"/>
            </w:tcBorders>
            <w:tcMar>
              <w:left w:w="58" w:type="dxa"/>
              <w:right w:w="58" w:type="dxa"/>
            </w:tcMar>
          </w:tcPr>
          <w:p w14:paraId="1EF37D4E" w14:textId="77777777" w:rsidR="003640B4" w:rsidRPr="003470BA" w:rsidRDefault="003640B4" w:rsidP="00E9742C">
            <w:pPr>
              <w:pStyle w:val="NoSpacing"/>
              <w:jc w:val="center"/>
            </w:pPr>
            <w:r w:rsidRPr="003470BA">
              <w:rPr>
                <w:rFonts w:ascii="Segoe UI Symbol" w:hAnsi="Segoe UI Symbol" w:cs="Segoe UI Symbol"/>
              </w:rPr>
              <w:t>☐</w:t>
            </w:r>
          </w:p>
        </w:tc>
        <w:tc>
          <w:tcPr>
            <w:tcW w:w="838" w:type="dxa"/>
            <w:tcBorders>
              <w:top w:val="single" w:sz="8" w:space="0" w:color="BFBFBF" w:themeColor="background1" w:themeShade="BF"/>
              <w:left w:val="dotted" w:sz="8" w:space="0" w:color="BFBFBF" w:themeColor="background1" w:themeShade="BF"/>
              <w:bottom w:val="single" w:sz="4" w:space="0" w:color="BFBFBF" w:themeColor="background1" w:themeShade="BF"/>
              <w:right w:val="dotted" w:sz="8" w:space="0" w:color="BFBFBF" w:themeColor="background1" w:themeShade="BF"/>
            </w:tcBorders>
            <w:tcMar>
              <w:left w:w="58" w:type="dxa"/>
              <w:right w:w="58" w:type="dxa"/>
            </w:tcMar>
          </w:tcPr>
          <w:p w14:paraId="7E1ADF8A" w14:textId="77777777" w:rsidR="003640B4" w:rsidRPr="003470BA" w:rsidRDefault="003640B4" w:rsidP="00E9742C">
            <w:pPr>
              <w:pStyle w:val="NoSpacing"/>
              <w:jc w:val="center"/>
            </w:pPr>
            <w:r w:rsidRPr="003470BA">
              <w:rPr>
                <w:rFonts w:ascii="Segoe UI Symbol" w:hAnsi="Segoe UI Symbol" w:cs="Segoe UI Symbol"/>
              </w:rPr>
              <w:t>☐</w:t>
            </w:r>
          </w:p>
        </w:tc>
        <w:tc>
          <w:tcPr>
            <w:tcW w:w="2313" w:type="dxa"/>
            <w:tcBorders>
              <w:top w:val="single" w:sz="8" w:space="0" w:color="BFBFBF" w:themeColor="background1" w:themeShade="BF"/>
              <w:left w:val="dotted" w:sz="8"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67FEB8E7" w14:textId="2061BDDD" w:rsidR="003640B4" w:rsidRPr="003470BA" w:rsidRDefault="00860D67" w:rsidP="00590C17">
            <w:pPr>
              <w:pStyle w:val="NoSpacing"/>
              <w:rPr>
                <w:rFonts w:cs="Segoe UI Symbol"/>
              </w:rPr>
            </w:pPr>
            <w:r>
              <w:rPr>
                <w:rFonts w:cs="Segoe UI Symbol"/>
              </w:rPr>
              <w:t>Other</w:t>
            </w:r>
          </w:p>
        </w:tc>
        <w:tc>
          <w:tcPr>
            <w:tcW w:w="5305" w:type="dxa"/>
            <w:tcBorders>
              <w:top w:val="single" w:sz="4" w:space="0" w:color="FFFFFF" w:themeColor="background1"/>
              <w:left w:val="dotted" w:sz="8" w:space="0" w:color="BFBFBF" w:themeColor="background1" w:themeShade="BF"/>
              <w:bottom w:val="single" w:sz="4" w:space="0" w:color="BFBFBF" w:themeColor="background1" w:themeShade="BF"/>
              <w:right w:val="single" w:sz="4" w:space="0" w:color="BFBFBF" w:themeColor="background1" w:themeShade="BF"/>
            </w:tcBorders>
          </w:tcPr>
          <w:p w14:paraId="375EBDFF" w14:textId="77777777" w:rsidR="003640B4" w:rsidRPr="003470BA" w:rsidRDefault="003640B4" w:rsidP="00590C17">
            <w:pPr>
              <w:pStyle w:val="NoSpacing"/>
              <w:rPr>
                <w:rFonts w:cs="Segoe UI Symbol"/>
              </w:rPr>
            </w:pPr>
          </w:p>
        </w:tc>
      </w:tr>
    </w:tbl>
    <w:p w14:paraId="0F654966" w14:textId="3B6AA006" w:rsidR="00082CE9" w:rsidRPr="003470BA" w:rsidRDefault="00082CE9" w:rsidP="002D5317">
      <w:pPr>
        <w:pStyle w:val="H2"/>
      </w:pPr>
      <w:r w:rsidRPr="003470BA">
        <w:t>Step 5</w:t>
      </w:r>
      <w:r w:rsidR="00D93F0D">
        <w:t>:</w:t>
      </w:r>
      <w:r w:rsidR="00C43D3B">
        <w:t xml:space="preserve"> </w:t>
      </w:r>
      <w:r w:rsidR="0016538B" w:rsidRPr="00D93F0D">
        <w:rPr>
          <w:rStyle w:val="H2-Subheading"/>
          <w:b w:val="0"/>
          <w:bCs w:val="0"/>
        </w:rPr>
        <w:t>Physical exam</w:t>
      </w:r>
      <w:r w:rsidR="0016538B" w:rsidRPr="00D93F0D">
        <w:rPr>
          <w:rStyle w:val="H2-Subheading"/>
          <w:b w:val="0"/>
          <w:bCs w:val="0"/>
          <w:vertAlign w:val="superscript"/>
        </w:rPr>
        <w:endnoteReference w:id="36"/>
      </w:r>
      <w:r w:rsidR="00C578DE">
        <w:rPr>
          <w:rStyle w:val="H2-Subheading"/>
          <w:b w:val="0"/>
          <w:bCs w:val="0"/>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2" w:space="0" w:color="D9D9D9" w:themeColor="background1" w:themeShade="D9"/>
        </w:tblBorders>
        <w:tblLayout w:type="fixed"/>
        <w:tblCellMar>
          <w:top w:w="29" w:type="dxa"/>
          <w:left w:w="58" w:type="dxa"/>
          <w:bottom w:w="29" w:type="dxa"/>
          <w:right w:w="58" w:type="dxa"/>
        </w:tblCellMar>
        <w:tblLook w:val="04A0" w:firstRow="1" w:lastRow="0" w:firstColumn="1" w:lastColumn="0" w:noHBand="0" w:noVBand="1"/>
      </w:tblPr>
      <w:tblGrid>
        <w:gridCol w:w="635"/>
        <w:gridCol w:w="641"/>
        <w:gridCol w:w="732"/>
        <w:gridCol w:w="671"/>
        <w:gridCol w:w="671"/>
        <w:gridCol w:w="671"/>
        <w:gridCol w:w="3148"/>
        <w:gridCol w:w="3806"/>
      </w:tblGrid>
      <w:tr w:rsidR="00106000" w:rsidRPr="003470BA" w14:paraId="63174682" w14:textId="77777777" w:rsidTr="00A95AC1">
        <w:trPr>
          <w:trHeight w:val="20"/>
          <w:tblHeader/>
        </w:trPr>
        <w:tc>
          <w:tcPr>
            <w:tcW w:w="1975" w:type="dxa"/>
            <w:gridSpan w:val="3"/>
            <w:tcBorders>
              <w:top w:val="single" w:sz="4" w:space="0" w:color="BFBFBF" w:themeColor="background1" w:themeShade="BF"/>
              <w:left w:val="single" w:sz="4" w:space="0" w:color="BFBFBF" w:themeColor="background1" w:themeShade="BF"/>
              <w:right w:val="nil"/>
            </w:tcBorders>
            <w:shd w:val="clear" w:color="auto" w:fill="F2F2F2" w:themeFill="background1" w:themeFillShade="F2"/>
            <w:tcMar>
              <w:left w:w="58" w:type="dxa"/>
              <w:right w:w="58" w:type="dxa"/>
            </w:tcMar>
            <w:vAlign w:val="center"/>
          </w:tcPr>
          <w:p w14:paraId="6DC959AD" w14:textId="42EA8985" w:rsidR="00106000" w:rsidRPr="003470BA" w:rsidRDefault="009A413B" w:rsidP="00AB0342">
            <w:pPr>
              <w:pStyle w:val="H3"/>
              <w:jc w:val="center"/>
            </w:pPr>
            <w:r>
              <w:t>Year 1</w:t>
            </w:r>
          </w:p>
        </w:tc>
        <w:tc>
          <w:tcPr>
            <w:tcW w:w="1980" w:type="dxa"/>
            <w:gridSpan w:val="3"/>
            <w:tcBorders>
              <w:top w:val="single" w:sz="4" w:space="0" w:color="BFBFBF" w:themeColor="background1" w:themeShade="BF"/>
              <w:left w:val="nil"/>
              <w:bottom w:val="nil"/>
              <w:right w:val="single" w:sz="4" w:space="0" w:color="BFBFBF" w:themeColor="background1" w:themeShade="BF"/>
            </w:tcBorders>
            <w:shd w:val="clear" w:color="auto" w:fill="auto"/>
            <w:tcMar>
              <w:left w:w="58" w:type="dxa"/>
              <w:right w:w="58" w:type="dxa"/>
            </w:tcMar>
            <w:vAlign w:val="center"/>
          </w:tcPr>
          <w:sdt>
            <w:sdtPr>
              <w:id w:val="1607922847"/>
              <w:placeholder>
                <w:docPart w:val="A4BC8FB29BB2462386AC5A4F078560EA"/>
              </w:placeholder>
              <w:date>
                <w:dateFormat w:val="M/d/yyyy"/>
                <w:lid w:val="en-US"/>
                <w:storeMappedDataAs w:val="dateTime"/>
                <w:calendar w:val="gregorian"/>
              </w:date>
            </w:sdtPr>
            <w:sdtEndPr/>
            <w:sdtContent>
              <w:p w14:paraId="6082358A" w14:textId="08076274" w:rsidR="00106000" w:rsidRPr="003470BA" w:rsidRDefault="009A413B" w:rsidP="00171C02">
                <w:pPr>
                  <w:pStyle w:val="H3"/>
                  <w:jc w:val="center"/>
                </w:pPr>
                <w:r>
                  <w:t>Year 2</w:t>
                </w:r>
              </w:p>
            </w:sdtContent>
          </w:sdt>
        </w:tc>
        <w:tc>
          <w:tcPr>
            <w:tcW w:w="6840" w:type="dxa"/>
            <w:gridSpan w:val="2"/>
            <w:tcBorders>
              <w:left w:val="single" w:sz="4" w:space="0" w:color="BFBFBF" w:themeColor="background1" w:themeShade="BF"/>
              <w:bottom w:val="nil"/>
            </w:tcBorders>
            <w:tcMar>
              <w:left w:w="58" w:type="dxa"/>
              <w:right w:w="58" w:type="dxa"/>
            </w:tcMar>
          </w:tcPr>
          <w:p w14:paraId="7E4CCB11" w14:textId="77777777" w:rsidR="00106000" w:rsidRPr="003470BA" w:rsidRDefault="00106000" w:rsidP="00BE3ECD">
            <w:pPr>
              <w:pStyle w:val="NoSpacing"/>
            </w:pPr>
          </w:p>
        </w:tc>
      </w:tr>
      <w:tr w:rsidR="00106000" w:rsidRPr="003470BA" w14:paraId="22819E62" w14:textId="77777777" w:rsidTr="00204D69">
        <w:trPr>
          <w:trHeight w:val="187"/>
        </w:trPr>
        <w:tc>
          <w:tcPr>
            <w:tcW w:w="1975" w:type="dxa"/>
            <w:gridSpan w:val="3"/>
            <w:tcBorders>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F2F2F2" w:themeFill="background1" w:themeFillShade="F2"/>
            <w:tcMar>
              <w:left w:w="58" w:type="dxa"/>
              <w:right w:w="58" w:type="dxa"/>
            </w:tcMar>
            <w:vAlign w:val="bottom"/>
          </w:tcPr>
          <w:p w14:paraId="2BA4F319" w14:textId="470C5817" w:rsidR="00106000" w:rsidRPr="00106000" w:rsidRDefault="00AB0342" w:rsidP="00765854">
            <w:pPr>
              <w:pStyle w:val="TableHeaders"/>
              <w:tabs>
                <w:tab w:val="left" w:pos="565"/>
                <w:tab w:val="left" w:pos="1285"/>
              </w:tabs>
            </w:pPr>
            <w:r w:rsidRPr="00106000">
              <w:t>Normal</w:t>
            </w:r>
            <w:r>
              <w:t xml:space="preserve"> </w:t>
            </w:r>
            <w:r>
              <w:rPr>
                <w:rStyle w:val="H2-Subheading"/>
                <w:b w:val="0"/>
                <w:bCs w:val="0"/>
              </w:rPr>
              <w:tab/>
            </w:r>
            <w:r w:rsidRPr="00106000">
              <w:t>Abnormal</w:t>
            </w:r>
            <w:r>
              <w:rPr>
                <w:rStyle w:val="H2-Subheading"/>
                <w:b w:val="0"/>
                <w:bCs w:val="0"/>
              </w:rPr>
              <w:tab/>
            </w:r>
            <w:r>
              <w:t xml:space="preserve"> </w:t>
            </w:r>
            <w:r w:rsidRPr="00106000">
              <w:t xml:space="preserve">Not </w:t>
            </w:r>
            <w:r>
              <w:t xml:space="preserve"> </w:t>
            </w:r>
            <w:r w:rsidRPr="00106000">
              <w:t>Done</w:t>
            </w:r>
          </w:p>
        </w:tc>
        <w:tc>
          <w:tcPr>
            <w:tcW w:w="1980" w:type="dxa"/>
            <w:gridSpan w:val="3"/>
            <w:tcBorders>
              <w:top w:val="nil"/>
              <w:left w:val="single" w:sz="4" w:space="0" w:color="BFBFBF" w:themeColor="background1" w:themeShade="BF"/>
              <w:bottom w:val="single" w:sz="8" w:space="0" w:color="BFBFBF" w:themeColor="background1" w:themeShade="BF"/>
            </w:tcBorders>
            <w:tcMar>
              <w:left w:w="58" w:type="dxa"/>
              <w:right w:w="58" w:type="dxa"/>
            </w:tcMar>
            <w:vAlign w:val="bottom"/>
          </w:tcPr>
          <w:p w14:paraId="7A8B5A61" w14:textId="41DE6B02" w:rsidR="00106000" w:rsidRPr="00106000" w:rsidRDefault="00D84BE8" w:rsidP="00AB0342">
            <w:pPr>
              <w:pStyle w:val="TableHeaders"/>
              <w:tabs>
                <w:tab w:val="left" w:pos="660"/>
                <w:tab w:val="left" w:pos="1290"/>
              </w:tabs>
            </w:pPr>
            <w:r w:rsidRPr="00106000">
              <w:t>Normal</w:t>
            </w:r>
            <w:r>
              <w:t xml:space="preserve"> </w:t>
            </w:r>
            <w:r>
              <w:rPr>
                <w:rStyle w:val="H2-Subheading"/>
                <w:b w:val="0"/>
                <w:bCs w:val="0"/>
              </w:rPr>
              <w:tab/>
            </w:r>
            <w:r w:rsidRPr="00106000">
              <w:t>Abnormal</w:t>
            </w:r>
            <w:r>
              <w:rPr>
                <w:rStyle w:val="H2-Subheading"/>
                <w:b w:val="0"/>
                <w:bCs w:val="0"/>
              </w:rPr>
              <w:tab/>
            </w:r>
            <w:r w:rsidRPr="00106000">
              <w:t>Not Done</w:t>
            </w:r>
          </w:p>
        </w:tc>
        <w:tc>
          <w:tcPr>
            <w:tcW w:w="3096" w:type="dxa"/>
            <w:tcBorders>
              <w:top w:val="single" w:sz="4"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bottom"/>
          </w:tcPr>
          <w:p w14:paraId="4F1733DF" w14:textId="77777777" w:rsidR="00106000" w:rsidRPr="003470BA" w:rsidRDefault="00106000" w:rsidP="00314E04">
            <w:pPr>
              <w:pStyle w:val="TableHeaders"/>
            </w:pPr>
            <w:r w:rsidRPr="003470BA">
              <w:t>Exam Type</w:t>
            </w:r>
          </w:p>
        </w:tc>
        <w:tc>
          <w:tcPr>
            <w:tcW w:w="374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Mar>
              <w:left w:w="58" w:type="dxa"/>
              <w:right w:w="58" w:type="dxa"/>
            </w:tcMar>
            <w:vAlign w:val="bottom"/>
          </w:tcPr>
          <w:p w14:paraId="482DDCEF" w14:textId="77777777" w:rsidR="00106000" w:rsidRPr="003470BA" w:rsidRDefault="00106000" w:rsidP="00314E04">
            <w:pPr>
              <w:pStyle w:val="TableHeaders"/>
            </w:pPr>
            <w:r w:rsidRPr="003470BA">
              <w:t>Notes</w:t>
            </w:r>
          </w:p>
        </w:tc>
      </w:tr>
      <w:tr w:rsidR="000F2AAA" w:rsidRPr="003470BA" w14:paraId="36E772EC" w14:textId="77777777" w:rsidTr="00AB0342">
        <w:trPr>
          <w:trHeight w:val="144"/>
        </w:trPr>
        <w:tc>
          <w:tcPr>
            <w:tcW w:w="625" w:type="dxa"/>
            <w:tcBorders>
              <w:top w:val="nil"/>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61A5DC1B"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30" w:type="dxa"/>
            <w:tcBorders>
              <w:top w:val="nil"/>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32F9F517"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20" w:type="dxa"/>
            <w:tcBorders>
              <w:top w:val="nil"/>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3A3C41CE"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nil"/>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34B55C7F"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nil"/>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2CAA33C1"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nil"/>
              <w:left w:val="dotted" w:sz="8" w:space="0" w:color="BFBFBF" w:themeColor="background1" w:themeShade="BF"/>
              <w:bottom w:val="single" w:sz="8" w:space="0" w:color="BFBFBF" w:themeColor="background1" w:themeShade="BF"/>
            </w:tcBorders>
            <w:tcMar>
              <w:left w:w="58" w:type="dxa"/>
              <w:right w:w="58" w:type="dxa"/>
            </w:tcMar>
            <w:vAlign w:val="bottom"/>
          </w:tcPr>
          <w:p w14:paraId="18902EC2"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096"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6E5E926E" w14:textId="7637C812" w:rsidR="00766591" w:rsidRPr="00BE3ECD" w:rsidRDefault="00766591" w:rsidP="00BE3ECD">
            <w:pPr>
              <w:pStyle w:val="NoSpacing"/>
            </w:pPr>
            <w:r w:rsidRPr="00BE3ECD">
              <w:t xml:space="preserve">Vital </w:t>
            </w:r>
            <w:r w:rsidR="00EF6BCC">
              <w:t>s</w:t>
            </w:r>
            <w:r w:rsidRPr="00BE3ECD">
              <w:t>igns</w:t>
            </w:r>
            <w:r w:rsidRPr="008A0D52">
              <w:rPr>
                <w:rStyle w:val="EndnoteTextChar"/>
                <w:szCs w:val="16"/>
                <w:vertAlign w:val="superscript"/>
              </w:rPr>
              <w:endnoteReference w:id="37"/>
            </w:r>
          </w:p>
        </w:tc>
        <w:tc>
          <w:tcPr>
            <w:tcW w:w="3744" w:type="dxa"/>
            <w:vMerge w:val="restar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tcPr>
          <w:p w14:paraId="571A4026" w14:textId="77777777" w:rsidR="00766591" w:rsidRPr="003470BA" w:rsidRDefault="00766591" w:rsidP="00941025"/>
          <w:p w14:paraId="251BCF2B" w14:textId="77777777" w:rsidR="00766591" w:rsidRPr="003470BA" w:rsidRDefault="00766591" w:rsidP="00BE3ECD">
            <w:pPr>
              <w:pStyle w:val="NoSpacing"/>
            </w:pPr>
          </w:p>
        </w:tc>
      </w:tr>
      <w:tr w:rsidR="000F2AAA" w:rsidRPr="003470BA" w14:paraId="6B962314" w14:textId="77777777" w:rsidTr="00AB0342">
        <w:trPr>
          <w:trHeight w:val="144"/>
        </w:trPr>
        <w:tc>
          <w:tcPr>
            <w:tcW w:w="62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68309A74"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3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2BA2425D"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0AD8A4AF"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34327836"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0F3A70A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5000A9FB"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096"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4485F0ED" w14:textId="2BAB6440" w:rsidR="00766591" w:rsidRPr="00BE3ECD" w:rsidRDefault="00766591" w:rsidP="00BE3ECD">
            <w:pPr>
              <w:pStyle w:val="NoSpacing"/>
            </w:pPr>
            <w:r w:rsidRPr="00BE3ECD">
              <w:t xml:space="preserve">General </w:t>
            </w:r>
            <w:r w:rsidR="00EF6BCC">
              <w:t>a</w:t>
            </w:r>
            <w:r w:rsidRPr="00BE3ECD">
              <w:t>ppearance</w:t>
            </w:r>
          </w:p>
        </w:tc>
        <w:tc>
          <w:tcPr>
            <w:tcW w:w="374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61789FC5" w14:textId="77777777" w:rsidR="00766591" w:rsidRPr="003470BA" w:rsidRDefault="00766591" w:rsidP="00BE3ECD">
            <w:pPr>
              <w:pStyle w:val="NoSpacing"/>
            </w:pPr>
          </w:p>
        </w:tc>
      </w:tr>
      <w:tr w:rsidR="000F2AAA" w:rsidRPr="003470BA" w14:paraId="55E94B07" w14:textId="77777777" w:rsidTr="00AB0342">
        <w:trPr>
          <w:trHeight w:val="144"/>
        </w:trPr>
        <w:tc>
          <w:tcPr>
            <w:tcW w:w="62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79CCA04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3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3A2E119F"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1466D968"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48AF19B0"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0079438B"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4720CD5D"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096"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50734685" w14:textId="76A2D1C9" w:rsidR="00766591" w:rsidRPr="00BE3ECD" w:rsidRDefault="00766591" w:rsidP="00BE3ECD">
            <w:pPr>
              <w:pStyle w:val="NoSpacing"/>
            </w:pPr>
            <w:r w:rsidRPr="00BE3ECD">
              <w:t>Eyes, vision</w:t>
            </w:r>
            <w:r w:rsidRPr="00793A84">
              <w:rPr>
                <w:rStyle w:val="EndnoteTextChar"/>
                <w:szCs w:val="16"/>
                <w:vertAlign w:val="superscript"/>
              </w:rPr>
              <w:endnoteReference w:id="38"/>
            </w:r>
          </w:p>
        </w:tc>
        <w:tc>
          <w:tcPr>
            <w:tcW w:w="374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71654A89" w14:textId="77777777" w:rsidR="00766591" w:rsidRPr="003470BA" w:rsidRDefault="00766591" w:rsidP="00BE3ECD">
            <w:pPr>
              <w:pStyle w:val="NoSpacing"/>
            </w:pPr>
          </w:p>
        </w:tc>
      </w:tr>
      <w:tr w:rsidR="000F2AAA" w:rsidRPr="003470BA" w14:paraId="0C02058F" w14:textId="77777777" w:rsidTr="00AB0342">
        <w:trPr>
          <w:trHeight w:val="144"/>
        </w:trPr>
        <w:tc>
          <w:tcPr>
            <w:tcW w:w="62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71F01CB0"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3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23898147"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6D3145A6"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1649EEBD"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2D587ED6"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370697BB"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096"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12F7BF6C" w14:textId="63F07D3D" w:rsidR="00766591" w:rsidRPr="00BE3ECD" w:rsidRDefault="00766591" w:rsidP="00BE3ECD">
            <w:pPr>
              <w:pStyle w:val="NoSpacing"/>
            </w:pPr>
            <w:r w:rsidRPr="00BE3ECD">
              <w:t>Ears, canals, hearing</w:t>
            </w:r>
            <w:r w:rsidRPr="00793A84">
              <w:rPr>
                <w:rStyle w:val="EndnoteTextChar"/>
                <w:szCs w:val="16"/>
                <w:vertAlign w:val="superscript"/>
              </w:rPr>
              <w:endnoteReference w:id="39"/>
            </w:r>
          </w:p>
        </w:tc>
        <w:tc>
          <w:tcPr>
            <w:tcW w:w="374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45774795" w14:textId="77777777" w:rsidR="00766591" w:rsidRPr="003470BA" w:rsidRDefault="00766591" w:rsidP="00BE3ECD">
            <w:pPr>
              <w:pStyle w:val="NoSpacing"/>
            </w:pPr>
          </w:p>
        </w:tc>
      </w:tr>
      <w:tr w:rsidR="000F2AAA" w:rsidRPr="003470BA" w14:paraId="6A66F60B" w14:textId="77777777" w:rsidTr="00AB0342">
        <w:trPr>
          <w:trHeight w:val="144"/>
        </w:trPr>
        <w:tc>
          <w:tcPr>
            <w:tcW w:w="62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449BFE0A"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3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2F6D9D3A"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1B357A83"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6DA9AF28"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21B17AE2"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30C3F290"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096"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683D5C92" w14:textId="1CE0E6C9" w:rsidR="00766591" w:rsidRPr="00BE3ECD" w:rsidRDefault="00766591" w:rsidP="00BE3ECD">
            <w:pPr>
              <w:pStyle w:val="NoSpacing"/>
            </w:pPr>
            <w:r w:rsidRPr="00BE3ECD">
              <w:t>Teeth</w:t>
            </w:r>
            <w:r w:rsidRPr="00793A84">
              <w:rPr>
                <w:rStyle w:val="EndnoteTextChar"/>
                <w:szCs w:val="16"/>
                <w:vertAlign w:val="superscript"/>
              </w:rPr>
              <w:endnoteReference w:id="40"/>
            </w:r>
          </w:p>
        </w:tc>
        <w:tc>
          <w:tcPr>
            <w:tcW w:w="374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15153A36" w14:textId="77777777" w:rsidR="00766591" w:rsidRPr="003470BA" w:rsidRDefault="00766591" w:rsidP="00BE3ECD">
            <w:pPr>
              <w:pStyle w:val="NoSpacing"/>
            </w:pPr>
          </w:p>
        </w:tc>
      </w:tr>
      <w:tr w:rsidR="000F2AAA" w:rsidRPr="003470BA" w14:paraId="76223DCC" w14:textId="77777777" w:rsidTr="00AB0342">
        <w:trPr>
          <w:trHeight w:val="144"/>
        </w:trPr>
        <w:tc>
          <w:tcPr>
            <w:tcW w:w="62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0AF9E854"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3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30529A4F"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6BF6A096"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6F7B9D2A"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74494C11"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3AF8131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096"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5A0187B6" w14:textId="201D3A70" w:rsidR="00766591" w:rsidRPr="00BE3ECD" w:rsidRDefault="00766591" w:rsidP="00BE3ECD">
            <w:pPr>
              <w:pStyle w:val="NoSpacing"/>
            </w:pPr>
            <w:r w:rsidRPr="00BE3ECD">
              <w:t>Neck, thyroid</w:t>
            </w:r>
            <w:r w:rsidRPr="00793A84">
              <w:rPr>
                <w:rStyle w:val="EndnoteTextChar"/>
                <w:szCs w:val="16"/>
                <w:vertAlign w:val="superscript"/>
              </w:rPr>
              <w:endnoteReference w:id="41"/>
            </w:r>
          </w:p>
        </w:tc>
        <w:tc>
          <w:tcPr>
            <w:tcW w:w="374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07C044F6" w14:textId="77777777" w:rsidR="00766591" w:rsidRPr="003470BA" w:rsidRDefault="00766591" w:rsidP="00BE3ECD">
            <w:pPr>
              <w:pStyle w:val="NoSpacing"/>
            </w:pPr>
          </w:p>
        </w:tc>
      </w:tr>
      <w:tr w:rsidR="000F2AAA" w:rsidRPr="003470BA" w14:paraId="39600D29" w14:textId="77777777" w:rsidTr="00AB0342">
        <w:trPr>
          <w:trHeight w:val="144"/>
        </w:trPr>
        <w:tc>
          <w:tcPr>
            <w:tcW w:w="62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1AA9B04D"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3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7ADD30BE"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12A3E0C3"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33F25682"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72ED7F82"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1C41869B"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096"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18D59CD6" w14:textId="323D6425" w:rsidR="00766591" w:rsidRPr="00BE3ECD" w:rsidRDefault="00766591" w:rsidP="00BE3ECD">
            <w:pPr>
              <w:pStyle w:val="NoSpacing"/>
            </w:pPr>
            <w:r w:rsidRPr="00BE3ECD">
              <w:t>Respiratory</w:t>
            </w:r>
            <w:r w:rsidRPr="00793A84">
              <w:rPr>
                <w:rStyle w:val="EndnoteTextChar"/>
                <w:szCs w:val="16"/>
                <w:vertAlign w:val="superscript"/>
              </w:rPr>
              <w:endnoteReference w:id="42"/>
            </w:r>
          </w:p>
        </w:tc>
        <w:tc>
          <w:tcPr>
            <w:tcW w:w="374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55EE7DE1" w14:textId="77777777" w:rsidR="00766591" w:rsidRPr="003470BA" w:rsidRDefault="00766591" w:rsidP="00BE3ECD">
            <w:pPr>
              <w:pStyle w:val="NoSpacing"/>
            </w:pPr>
          </w:p>
        </w:tc>
      </w:tr>
      <w:tr w:rsidR="000F2AAA" w:rsidRPr="003470BA" w14:paraId="07ECAF25" w14:textId="77777777" w:rsidTr="00AB0342">
        <w:trPr>
          <w:trHeight w:val="144"/>
        </w:trPr>
        <w:tc>
          <w:tcPr>
            <w:tcW w:w="62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34E5B15E"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3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6AD223F6"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1ABA72C8"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7DD2110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7EE470D0"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1CC8E728"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096"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6258AC4A" w14:textId="7B7BBC6C" w:rsidR="00766591" w:rsidRPr="00BE3ECD" w:rsidRDefault="00766591" w:rsidP="00BE3ECD">
            <w:pPr>
              <w:pStyle w:val="NoSpacing"/>
            </w:pPr>
            <w:r w:rsidRPr="00BE3ECD">
              <w:t>Cardiovascular</w:t>
            </w:r>
            <w:r w:rsidRPr="00793A84">
              <w:rPr>
                <w:rStyle w:val="EndnoteTextChar"/>
                <w:szCs w:val="16"/>
                <w:vertAlign w:val="superscript"/>
              </w:rPr>
              <w:endnoteReference w:id="43"/>
            </w:r>
          </w:p>
        </w:tc>
        <w:tc>
          <w:tcPr>
            <w:tcW w:w="374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7ED68D03" w14:textId="77777777" w:rsidR="00766591" w:rsidRPr="003470BA" w:rsidRDefault="00766591" w:rsidP="00BE3ECD">
            <w:pPr>
              <w:pStyle w:val="NoSpacing"/>
            </w:pPr>
          </w:p>
        </w:tc>
      </w:tr>
      <w:tr w:rsidR="000F2AAA" w:rsidRPr="003470BA" w14:paraId="50713D29" w14:textId="77777777" w:rsidTr="00AB0342">
        <w:trPr>
          <w:trHeight w:val="144"/>
        </w:trPr>
        <w:tc>
          <w:tcPr>
            <w:tcW w:w="62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1E07C615"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3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2B46CA7A"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55D282A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07EB6D28"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6DC75040"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125E945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096"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516DDFCA" w14:textId="64F6EB51" w:rsidR="00766591" w:rsidRPr="00BE3ECD" w:rsidRDefault="00766591" w:rsidP="00BE3ECD">
            <w:pPr>
              <w:pStyle w:val="NoSpacing"/>
            </w:pPr>
            <w:r w:rsidRPr="00BE3ECD">
              <w:t>Abdomen</w:t>
            </w:r>
          </w:p>
        </w:tc>
        <w:tc>
          <w:tcPr>
            <w:tcW w:w="374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7F2F30D4" w14:textId="77777777" w:rsidR="00766591" w:rsidRPr="003470BA" w:rsidRDefault="00766591" w:rsidP="00BE3ECD">
            <w:pPr>
              <w:pStyle w:val="NoSpacing"/>
            </w:pPr>
          </w:p>
        </w:tc>
      </w:tr>
      <w:tr w:rsidR="000F2AAA" w:rsidRPr="003470BA" w14:paraId="49C62136" w14:textId="77777777" w:rsidTr="00AB0342">
        <w:trPr>
          <w:trHeight w:val="144"/>
        </w:trPr>
        <w:tc>
          <w:tcPr>
            <w:tcW w:w="62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23442962"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3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08F46621"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22FEA514"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1E0FC6BC"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5E47E54C"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07348DFF"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096"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06382D02" w14:textId="6931AD42" w:rsidR="00766591" w:rsidRPr="00BE3ECD" w:rsidRDefault="00766591" w:rsidP="00BE3ECD">
            <w:pPr>
              <w:pStyle w:val="NoSpacing"/>
            </w:pPr>
            <w:r w:rsidRPr="00BE3ECD">
              <w:t xml:space="preserve">Genitourinary, </w:t>
            </w:r>
            <w:r w:rsidR="00EF6BCC">
              <w:t>g</w:t>
            </w:r>
            <w:r w:rsidRPr="00BE3ECD">
              <w:t>ynecol</w:t>
            </w:r>
            <w:r w:rsidR="005D01B5">
              <w:t>ogical</w:t>
            </w:r>
            <w:r w:rsidRPr="00793A84">
              <w:rPr>
                <w:rStyle w:val="EndnoteTextChar"/>
                <w:szCs w:val="16"/>
                <w:vertAlign w:val="superscript"/>
              </w:rPr>
              <w:endnoteReference w:id="44"/>
            </w:r>
          </w:p>
        </w:tc>
        <w:tc>
          <w:tcPr>
            <w:tcW w:w="374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34235023" w14:textId="77777777" w:rsidR="00766591" w:rsidRPr="003470BA" w:rsidRDefault="00766591" w:rsidP="00BE3ECD">
            <w:pPr>
              <w:pStyle w:val="NoSpacing"/>
            </w:pPr>
          </w:p>
        </w:tc>
      </w:tr>
      <w:tr w:rsidR="000F2AAA" w:rsidRPr="003470BA" w14:paraId="686FEB29" w14:textId="77777777" w:rsidTr="00AB0342">
        <w:trPr>
          <w:trHeight w:val="144"/>
        </w:trPr>
        <w:tc>
          <w:tcPr>
            <w:tcW w:w="62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50F4EDEE"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3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5F58B114"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688E4280"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349A1A78"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16F62BA3"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7CF4CEF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096"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56B52097" w14:textId="36E22793" w:rsidR="00766591" w:rsidRPr="00BE3ECD" w:rsidRDefault="00766591" w:rsidP="00BE3ECD">
            <w:pPr>
              <w:pStyle w:val="NoSpacing"/>
            </w:pPr>
            <w:r w:rsidRPr="00BE3ECD">
              <w:t>Musculoskeletal</w:t>
            </w:r>
            <w:r w:rsidRPr="00793A84">
              <w:rPr>
                <w:rStyle w:val="EndnoteTextChar"/>
                <w:szCs w:val="16"/>
                <w:vertAlign w:val="superscript"/>
              </w:rPr>
              <w:endnoteReference w:id="45"/>
            </w:r>
          </w:p>
        </w:tc>
        <w:tc>
          <w:tcPr>
            <w:tcW w:w="374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7DB01DB0" w14:textId="77777777" w:rsidR="00766591" w:rsidRPr="003470BA" w:rsidRDefault="00766591" w:rsidP="00BE3ECD">
            <w:pPr>
              <w:pStyle w:val="NoSpacing"/>
            </w:pPr>
          </w:p>
        </w:tc>
      </w:tr>
      <w:tr w:rsidR="000F2AAA" w:rsidRPr="003470BA" w14:paraId="7BA4E7AF" w14:textId="77777777" w:rsidTr="00AB0342">
        <w:trPr>
          <w:trHeight w:val="144"/>
        </w:trPr>
        <w:tc>
          <w:tcPr>
            <w:tcW w:w="62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289D786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3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3C2118EE"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5CC6328F"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3A8E7875"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06AFF88C"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27DED6BF"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096"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2AE12698" w14:textId="78FBB38F" w:rsidR="00766591" w:rsidRPr="00BE3ECD" w:rsidRDefault="00766591" w:rsidP="00BE3ECD">
            <w:pPr>
              <w:pStyle w:val="NoSpacing"/>
            </w:pPr>
            <w:r w:rsidRPr="00BE3ECD">
              <w:t>Neurological</w:t>
            </w:r>
            <w:r w:rsidRPr="00793A84">
              <w:rPr>
                <w:rStyle w:val="EndnoteTextChar"/>
                <w:szCs w:val="16"/>
                <w:vertAlign w:val="superscript"/>
              </w:rPr>
              <w:endnoteReference w:id="46"/>
            </w:r>
          </w:p>
        </w:tc>
        <w:tc>
          <w:tcPr>
            <w:tcW w:w="374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1A925A75" w14:textId="77777777" w:rsidR="00766591" w:rsidRPr="003470BA" w:rsidRDefault="00766591" w:rsidP="00BE3ECD">
            <w:pPr>
              <w:pStyle w:val="NoSpacing"/>
            </w:pPr>
          </w:p>
        </w:tc>
      </w:tr>
      <w:tr w:rsidR="000F2AAA" w:rsidRPr="003470BA" w14:paraId="394FD7B4" w14:textId="77777777" w:rsidTr="00AB0342">
        <w:trPr>
          <w:trHeight w:val="144"/>
        </w:trPr>
        <w:tc>
          <w:tcPr>
            <w:tcW w:w="62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005912B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3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742FF748"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6F2E6836"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6260CCC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369D2DE3"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46F62266"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096"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6B928116" w14:textId="7F96E81A" w:rsidR="00766591" w:rsidRPr="00BE3ECD" w:rsidRDefault="00766591" w:rsidP="00BE3ECD">
            <w:pPr>
              <w:pStyle w:val="NoSpacing"/>
            </w:pPr>
            <w:r w:rsidRPr="00BE3ECD">
              <w:t>Mental status</w:t>
            </w:r>
            <w:r w:rsidRPr="00793A84">
              <w:rPr>
                <w:rStyle w:val="EndnoteTextChar"/>
                <w:szCs w:val="16"/>
                <w:vertAlign w:val="superscript"/>
              </w:rPr>
              <w:endnoteReference w:id="47"/>
            </w:r>
          </w:p>
        </w:tc>
        <w:tc>
          <w:tcPr>
            <w:tcW w:w="374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6E6F279E" w14:textId="77777777" w:rsidR="00766591" w:rsidRPr="003470BA" w:rsidRDefault="00766591" w:rsidP="00BE3ECD">
            <w:pPr>
              <w:pStyle w:val="NoSpacing"/>
            </w:pPr>
          </w:p>
        </w:tc>
      </w:tr>
      <w:tr w:rsidR="000F2AAA" w:rsidRPr="003470BA" w14:paraId="08E3D7F8" w14:textId="77777777" w:rsidTr="00AB0342">
        <w:trPr>
          <w:trHeight w:val="144"/>
        </w:trPr>
        <w:tc>
          <w:tcPr>
            <w:tcW w:w="62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4712DF3E"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3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3A0B38F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5B956E10"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0EAC5234"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03DA4812"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680B9056"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096"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1EAD1D1E" w14:textId="65DD4069" w:rsidR="00766591" w:rsidRPr="00BE3ECD" w:rsidRDefault="00766591" w:rsidP="00BE3ECD">
            <w:pPr>
              <w:pStyle w:val="NoSpacing"/>
            </w:pPr>
            <w:r w:rsidRPr="00BE3ECD">
              <w:t>Skin</w:t>
            </w:r>
            <w:r w:rsidRPr="00793A84">
              <w:rPr>
                <w:rStyle w:val="EndnoteTextChar"/>
                <w:szCs w:val="16"/>
                <w:vertAlign w:val="superscript"/>
              </w:rPr>
              <w:endnoteReference w:id="48"/>
            </w:r>
          </w:p>
        </w:tc>
        <w:tc>
          <w:tcPr>
            <w:tcW w:w="374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7242D49F" w14:textId="77777777" w:rsidR="00766591" w:rsidRPr="003470BA" w:rsidRDefault="00766591" w:rsidP="00BE3ECD">
            <w:pPr>
              <w:pStyle w:val="NoSpacing"/>
            </w:pPr>
          </w:p>
        </w:tc>
      </w:tr>
      <w:tr w:rsidR="000F2AAA" w:rsidRPr="003470BA" w14:paraId="5C800306" w14:textId="77777777" w:rsidTr="00AB0342">
        <w:trPr>
          <w:trHeight w:val="144"/>
        </w:trPr>
        <w:tc>
          <w:tcPr>
            <w:tcW w:w="625" w:type="dxa"/>
            <w:tcBorders>
              <w:top w:val="single" w:sz="8" w:space="0" w:color="BFBFBF" w:themeColor="background1" w:themeShade="BF"/>
              <w:left w:val="single" w:sz="4" w:space="0" w:color="BFBFBF" w:themeColor="background1" w:themeShade="BF"/>
              <w:bottom w:val="single" w:sz="4"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27E0F07B"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30" w:type="dxa"/>
            <w:tcBorders>
              <w:top w:val="single" w:sz="8" w:space="0" w:color="BFBFBF" w:themeColor="background1" w:themeShade="BF"/>
              <w:left w:val="dotted" w:sz="8" w:space="0" w:color="BFBFBF" w:themeColor="background1" w:themeShade="BF"/>
              <w:bottom w:val="single" w:sz="4"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7B7658AD"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20" w:type="dxa"/>
            <w:tcBorders>
              <w:top w:val="single" w:sz="8" w:space="0" w:color="BFBFBF" w:themeColor="background1" w:themeShade="BF"/>
              <w:left w:val="dotted" w:sz="8" w:space="0" w:color="BFBFBF" w:themeColor="background1" w:themeShade="BF"/>
              <w:bottom w:val="single" w:sz="4" w:space="0" w:color="BFBFBF" w:themeColor="background1" w:themeShade="BF"/>
              <w:right w:val="nil"/>
            </w:tcBorders>
            <w:shd w:val="clear" w:color="auto" w:fill="F2F2F2" w:themeFill="background1" w:themeFillShade="F2"/>
            <w:tcMar>
              <w:left w:w="58" w:type="dxa"/>
              <w:right w:w="58" w:type="dxa"/>
            </w:tcMar>
            <w:vAlign w:val="bottom"/>
          </w:tcPr>
          <w:p w14:paraId="0634D552"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nil"/>
              <w:bottom w:val="single" w:sz="4" w:space="0" w:color="BFBFBF" w:themeColor="background1" w:themeShade="BF"/>
              <w:right w:val="dotted" w:sz="8" w:space="0" w:color="BFBFBF" w:themeColor="background1" w:themeShade="BF"/>
            </w:tcBorders>
            <w:tcMar>
              <w:left w:w="58" w:type="dxa"/>
              <w:right w:w="58" w:type="dxa"/>
            </w:tcMar>
            <w:vAlign w:val="bottom"/>
          </w:tcPr>
          <w:p w14:paraId="33E850A1"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4" w:space="0" w:color="BFBFBF" w:themeColor="background1" w:themeShade="BF"/>
              <w:right w:val="dotted" w:sz="8" w:space="0" w:color="BFBFBF" w:themeColor="background1" w:themeShade="BF"/>
            </w:tcBorders>
            <w:tcMar>
              <w:left w:w="58" w:type="dxa"/>
              <w:right w:w="58" w:type="dxa"/>
            </w:tcMar>
            <w:vAlign w:val="bottom"/>
          </w:tcPr>
          <w:p w14:paraId="7269FFE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60" w:type="dxa"/>
            <w:tcBorders>
              <w:top w:val="single" w:sz="8" w:space="0" w:color="BFBFBF" w:themeColor="background1" w:themeShade="BF"/>
              <w:left w:val="dotted" w:sz="8" w:space="0" w:color="BFBFBF" w:themeColor="background1" w:themeShade="BF"/>
              <w:bottom w:val="single" w:sz="4" w:space="0" w:color="BFBFBF" w:themeColor="background1" w:themeShade="BF"/>
            </w:tcBorders>
            <w:tcMar>
              <w:left w:w="58" w:type="dxa"/>
              <w:right w:w="58" w:type="dxa"/>
            </w:tcMar>
            <w:vAlign w:val="bottom"/>
          </w:tcPr>
          <w:p w14:paraId="678B7C2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096" w:type="dxa"/>
            <w:tcBorders>
              <w:top w:val="single" w:sz="8" w:space="0" w:color="BFBFBF" w:themeColor="background1" w:themeShade="BF"/>
              <w:left w:val="dotted" w:sz="8"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6D272E19" w14:textId="7ECF2B39" w:rsidR="00766591" w:rsidRPr="00BE3ECD" w:rsidRDefault="00766591" w:rsidP="00BE3ECD">
            <w:pPr>
              <w:pStyle w:val="NoSpacing"/>
            </w:pPr>
            <w:r w:rsidRPr="00BE3ECD">
              <w:t>Other</w:t>
            </w:r>
          </w:p>
        </w:tc>
        <w:tc>
          <w:tcPr>
            <w:tcW w:w="374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132062EE" w14:textId="77777777" w:rsidR="00766591" w:rsidRPr="003470BA" w:rsidRDefault="00766591" w:rsidP="00BE3ECD">
            <w:pPr>
              <w:pStyle w:val="NoSpacing"/>
            </w:pPr>
          </w:p>
        </w:tc>
      </w:tr>
    </w:tbl>
    <w:p w14:paraId="7541AEFF" w14:textId="25B86012" w:rsidR="00AB7925" w:rsidRDefault="0016538B" w:rsidP="00593594">
      <w:pPr>
        <w:pStyle w:val="H2"/>
        <w:spacing w:after="0"/>
        <w:rPr>
          <w:rStyle w:val="H2-Subheading"/>
          <w:b w:val="0"/>
          <w:bCs w:val="0"/>
        </w:rPr>
      </w:pPr>
      <w:r w:rsidRPr="003470BA">
        <w:t>Step 6</w:t>
      </w:r>
      <w:r w:rsidR="00ED593A">
        <w:t>:</w:t>
      </w:r>
      <w:r w:rsidR="00915D0A">
        <w:t xml:space="preserve"> </w:t>
      </w:r>
      <w:r w:rsidRPr="00ED593A">
        <w:rPr>
          <w:rStyle w:val="H2-Subheading"/>
          <w:b w:val="0"/>
          <w:bCs w:val="0"/>
        </w:rPr>
        <w:t>Assessment and plan</w:t>
      </w:r>
      <w:r w:rsidRPr="00ED593A">
        <w:rPr>
          <w:rStyle w:val="H2-Subheading"/>
          <w:b w:val="0"/>
          <w:bCs w:val="0"/>
          <w:vertAlign w:val="superscript"/>
        </w:rPr>
        <w:endnoteReference w:id="49"/>
      </w:r>
    </w:p>
    <w:p w14:paraId="3C76C593" w14:textId="4AE13DD3" w:rsidR="00AB7925" w:rsidRDefault="00AB7925" w:rsidP="00593594">
      <w:r>
        <w:t>List issues identified through the Health Check</w:t>
      </w:r>
      <w:r w:rsidR="00593594">
        <w:t xml:space="preserve">, </w:t>
      </w:r>
      <w:r>
        <w:t>Note plan,</w:t>
      </w:r>
      <w:r w:rsidRPr="00370BD8">
        <w:t xml:space="preserve"> </w:t>
      </w:r>
      <w:r>
        <w:t>p</w:t>
      </w:r>
      <w:r w:rsidRPr="00370BD8">
        <w:t>erson responsible</w:t>
      </w:r>
      <w:r>
        <w:t xml:space="preserve"> and</w:t>
      </w:r>
      <w:r w:rsidRPr="00370BD8">
        <w:t xml:space="preserve"> </w:t>
      </w:r>
      <w:r>
        <w:t>t</w:t>
      </w:r>
      <w:r w:rsidRPr="00370BD8">
        <w:t>imeline</w:t>
      </w:r>
      <w:r>
        <w:t xml:space="preserve"> for each action needed</w:t>
      </w:r>
      <w:r w:rsidR="00593594">
        <w:t xml:space="preserve">. </w:t>
      </w:r>
    </w:p>
    <w:p w14:paraId="2D4A5D9E" w14:textId="44DF8F19" w:rsidR="00AB7925" w:rsidRPr="00AB7925" w:rsidRDefault="00AB7925" w:rsidP="00593594">
      <w:pPr>
        <w:spacing w:after="120"/>
      </w:pPr>
      <w:r>
        <w:t>If not addressed in that list, consider the following: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2" w:space="0" w:color="D9D9D9" w:themeColor="background1" w:themeShade="D9"/>
        </w:tblBorders>
        <w:tblLayout w:type="fixed"/>
        <w:tblCellMar>
          <w:top w:w="29" w:type="dxa"/>
          <w:left w:w="58" w:type="dxa"/>
          <w:bottom w:w="29" w:type="dxa"/>
          <w:right w:w="58" w:type="dxa"/>
        </w:tblCellMar>
        <w:tblLook w:val="04A0" w:firstRow="1" w:lastRow="0" w:firstColumn="1" w:lastColumn="0" w:noHBand="0" w:noVBand="1"/>
      </w:tblPr>
      <w:tblGrid>
        <w:gridCol w:w="543"/>
        <w:gridCol w:w="732"/>
        <w:gridCol w:w="549"/>
        <w:gridCol w:w="549"/>
        <w:gridCol w:w="824"/>
        <w:gridCol w:w="824"/>
        <w:gridCol w:w="3153"/>
        <w:gridCol w:w="3801"/>
      </w:tblGrid>
      <w:tr w:rsidR="00A95AC1" w:rsidRPr="003470BA" w14:paraId="4B423304" w14:textId="77777777" w:rsidTr="00A95AC1">
        <w:trPr>
          <w:trHeight w:val="144"/>
        </w:trPr>
        <w:tc>
          <w:tcPr>
            <w:tcW w:w="1795" w:type="dxa"/>
            <w:gridSpan w:val="3"/>
            <w:vMerge w:val="restart"/>
            <w:tcBorders>
              <w:top w:val="single" w:sz="4" w:space="0" w:color="BFBFBF" w:themeColor="background1" w:themeShade="BF"/>
              <w:left w:val="single" w:sz="4" w:space="0" w:color="BFBFBF" w:themeColor="background1" w:themeShade="BF"/>
              <w:right w:val="nil"/>
            </w:tcBorders>
            <w:shd w:val="clear" w:color="auto" w:fill="F2F2F2" w:themeFill="background1" w:themeFillShade="F2"/>
            <w:tcMar>
              <w:left w:w="58" w:type="dxa"/>
              <w:right w:w="58" w:type="dxa"/>
            </w:tcMar>
            <w:vAlign w:val="center"/>
          </w:tcPr>
          <w:p w14:paraId="59E66377" w14:textId="5C2572AA" w:rsidR="00A95AC1" w:rsidRPr="003470BA" w:rsidRDefault="009A413B" w:rsidP="00171C02">
            <w:pPr>
              <w:pStyle w:val="H3"/>
              <w:jc w:val="center"/>
            </w:pPr>
            <w:r>
              <w:t>Year 1</w:t>
            </w:r>
          </w:p>
          <w:p w14:paraId="64448C24" w14:textId="7682BA4C" w:rsidR="00A95AC1" w:rsidRPr="003470BA" w:rsidRDefault="00A95AC1" w:rsidP="00314E04">
            <w:pPr>
              <w:pStyle w:val="TableHeaders"/>
            </w:pPr>
            <w:r w:rsidRPr="00A95AC1">
              <w:t>Done</w:t>
            </w:r>
            <w:r>
              <w:rPr>
                <w:rStyle w:val="H2-Subheading"/>
                <w:b w:val="0"/>
                <w:bCs w:val="0"/>
              </w:rPr>
              <w:tab/>
            </w:r>
            <w:r w:rsidRPr="00A95AC1">
              <w:t>Not Done</w:t>
            </w:r>
            <w:r>
              <w:rPr>
                <w:rStyle w:val="H2-Subheading"/>
                <w:b w:val="0"/>
                <w:bCs w:val="0"/>
              </w:rPr>
              <w:tab/>
            </w:r>
            <w:r w:rsidRPr="00A95AC1">
              <w:t>N/A</w:t>
            </w:r>
          </w:p>
        </w:tc>
        <w:tc>
          <w:tcPr>
            <w:tcW w:w="2160" w:type="dxa"/>
            <w:gridSpan w:val="3"/>
            <w:vMerge w:val="restart"/>
            <w:tcBorders>
              <w:top w:val="single" w:sz="4" w:space="0" w:color="BFBFBF" w:themeColor="background1" w:themeShade="BF"/>
              <w:left w:val="nil"/>
              <w:right w:val="single" w:sz="4" w:space="0" w:color="BFBFBF" w:themeColor="background1" w:themeShade="BF"/>
            </w:tcBorders>
            <w:shd w:val="clear" w:color="auto" w:fill="auto"/>
            <w:tcMar>
              <w:left w:w="58" w:type="dxa"/>
              <w:right w:w="58" w:type="dxa"/>
            </w:tcMar>
            <w:vAlign w:val="center"/>
          </w:tcPr>
          <w:sdt>
            <w:sdtPr>
              <w:id w:val="284082379"/>
              <w:placeholder>
                <w:docPart w:val="F688112590104C2FB1828E97FAF8C45D"/>
              </w:placeholder>
              <w:date>
                <w:dateFormat w:val="M/d/yyyy"/>
                <w:lid w:val="en-US"/>
                <w:storeMappedDataAs w:val="dateTime"/>
                <w:calendar w:val="gregorian"/>
              </w:date>
            </w:sdtPr>
            <w:sdtEndPr/>
            <w:sdtContent>
              <w:p w14:paraId="5DC7BFF4" w14:textId="32FCD603" w:rsidR="00A95AC1" w:rsidRPr="003470BA" w:rsidRDefault="009A413B" w:rsidP="00171C02">
                <w:pPr>
                  <w:pStyle w:val="H3"/>
                  <w:jc w:val="center"/>
                </w:pPr>
                <w:r>
                  <w:t>Year 2</w:t>
                </w:r>
              </w:p>
            </w:sdtContent>
          </w:sdt>
          <w:p w14:paraId="34C122B6" w14:textId="531BE408" w:rsidR="00A95AC1" w:rsidRPr="003470BA" w:rsidRDefault="00A95AC1" w:rsidP="00314E04">
            <w:pPr>
              <w:pStyle w:val="TableHeaders"/>
            </w:pPr>
            <w:r w:rsidRPr="00A95AC1">
              <w:t>Done</w:t>
            </w:r>
            <w:r>
              <w:rPr>
                <w:rStyle w:val="H2-Subheading"/>
                <w:b w:val="0"/>
                <w:bCs w:val="0"/>
              </w:rPr>
              <w:tab/>
            </w:r>
            <w:r w:rsidRPr="00A95AC1">
              <w:t>Not Done</w:t>
            </w:r>
            <w:r>
              <w:rPr>
                <w:rStyle w:val="H2-Subheading"/>
                <w:b w:val="0"/>
                <w:bCs w:val="0"/>
              </w:rPr>
              <w:tab/>
            </w:r>
            <w:r w:rsidRPr="00A95AC1">
              <w:t>N/A</w:t>
            </w:r>
          </w:p>
        </w:tc>
        <w:tc>
          <w:tcPr>
            <w:tcW w:w="6840" w:type="dxa"/>
            <w:gridSpan w:val="2"/>
            <w:tcBorders>
              <w:left w:val="single" w:sz="4" w:space="0" w:color="BFBFBF" w:themeColor="background1" w:themeShade="BF"/>
              <w:bottom w:val="nil"/>
            </w:tcBorders>
            <w:tcMar>
              <w:left w:w="58" w:type="dxa"/>
              <w:right w:w="58" w:type="dxa"/>
            </w:tcMar>
          </w:tcPr>
          <w:p w14:paraId="705D6D97" w14:textId="77777777" w:rsidR="00A95AC1" w:rsidRPr="003470BA" w:rsidRDefault="00A95AC1" w:rsidP="00BE3ECD">
            <w:pPr>
              <w:pStyle w:val="NoSpacing"/>
            </w:pPr>
          </w:p>
        </w:tc>
      </w:tr>
      <w:tr w:rsidR="00A95AC1" w:rsidRPr="003470BA" w14:paraId="5D7F0A29" w14:textId="77777777" w:rsidTr="00A95AC1">
        <w:trPr>
          <w:trHeight w:val="20"/>
        </w:trPr>
        <w:tc>
          <w:tcPr>
            <w:tcW w:w="1795" w:type="dxa"/>
            <w:gridSpan w:val="3"/>
            <w:vMerge/>
            <w:tcBorders>
              <w:left w:val="single" w:sz="4"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center"/>
          </w:tcPr>
          <w:p w14:paraId="52720CB9" w14:textId="14EDF505" w:rsidR="00A95AC1" w:rsidRPr="00A95AC1" w:rsidRDefault="00A95AC1" w:rsidP="00314E04">
            <w:pPr>
              <w:pStyle w:val="TableHeaders"/>
            </w:pPr>
          </w:p>
        </w:tc>
        <w:tc>
          <w:tcPr>
            <w:tcW w:w="2160" w:type="dxa"/>
            <w:gridSpan w:val="3"/>
            <w:vMerge/>
            <w:tcBorders>
              <w:left w:val="nil"/>
              <w:bottom w:val="single" w:sz="8" w:space="0" w:color="BFBFBF" w:themeColor="background1" w:themeShade="BF"/>
              <w:right w:val="single" w:sz="4" w:space="0" w:color="BFBFBF" w:themeColor="background1" w:themeShade="BF"/>
            </w:tcBorders>
            <w:tcMar>
              <w:left w:w="58" w:type="dxa"/>
              <w:right w:w="58" w:type="dxa"/>
            </w:tcMar>
            <w:vAlign w:val="center"/>
          </w:tcPr>
          <w:p w14:paraId="77500223" w14:textId="62C7B487" w:rsidR="00A95AC1" w:rsidRPr="00A95AC1" w:rsidRDefault="00A95AC1" w:rsidP="00314E04">
            <w:pPr>
              <w:pStyle w:val="TableHeaders"/>
            </w:pPr>
          </w:p>
        </w:tc>
        <w:tc>
          <w:tcPr>
            <w:tcW w:w="3101" w:type="dxa"/>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bottom"/>
          </w:tcPr>
          <w:p w14:paraId="536EE2F6" w14:textId="1E629C01" w:rsidR="00A95AC1" w:rsidRPr="003470BA" w:rsidRDefault="00980718" w:rsidP="00314E04">
            <w:pPr>
              <w:pStyle w:val="TableHeaders"/>
            </w:pPr>
            <w:r>
              <w:t>Assessment</w:t>
            </w:r>
          </w:p>
        </w:tc>
        <w:tc>
          <w:tcPr>
            <w:tcW w:w="373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Mar>
              <w:left w:w="58" w:type="dxa"/>
              <w:right w:w="58" w:type="dxa"/>
            </w:tcMar>
            <w:vAlign w:val="bottom"/>
          </w:tcPr>
          <w:p w14:paraId="6005E715" w14:textId="77777777" w:rsidR="00A95AC1" w:rsidRPr="003470BA" w:rsidRDefault="00A95AC1" w:rsidP="00314E04">
            <w:pPr>
              <w:pStyle w:val="TableHeaders"/>
            </w:pPr>
            <w:r w:rsidRPr="003470BA">
              <w:t>Notes</w:t>
            </w:r>
          </w:p>
        </w:tc>
      </w:tr>
      <w:tr w:rsidR="00A95AC1" w:rsidRPr="003470BA" w14:paraId="3560747A" w14:textId="77777777" w:rsidTr="009C0BF0">
        <w:trPr>
          <w:trHeight w:val="187"/>
        </w:trPr>
        <w:tc>
          <w:tcPr>
            <w:tcW w:w="535" w:type="dxa"/>
            <w:tcBorders>
              <w:top w:val="nil"/>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6DB5B88F" w14:textId="77777777" w:rsidR="00A95AC1" w:rsidRPr="003470BA" w:rsidRDefault="00A95AC1" w:rsidP="00A95AC1">
            <w:pPr>
              <w:pStyle w:val="NoSpacing"/>
              <w:jc w:val="center"/>
              <w:rPr>
                <w:sz w:val="28"/>
                <w:szCs w:val="28"/>
              </w:rPr>
            </w:pPr>
            <w:r w:rsidRPr="003470BA">
              <w:rPr>
                <w:rFonts w:ascii="Segoe UI Symbol" w:hAnsi="Segoe UI Symbol" w:cs="Segoe UI Symbol"/>
              </w:rPr>
              <w:t>☐</w:t>
            </w:r>
          </w:p>
        </w:tc>
        <w:tc>
          <w:tcPr>
            <w:tcW w:w="720" w:type="dxa"/>
            <w:tcBorders>
              <w:top w:val="nil"/>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6F7634D7" w14:textId="77777777" w:rsidR="00A95AC1" w:rsidRPr="003470BA" w:rsidRDefault="00A95AC1" w:rsidP="00A95AC1">
            <w:pPr>
              <w:pStyle w:val="NoSpacing"/>
              <w:jc w:val="center"/>
              <w:rPr>
                <w:sz w:val="28"/>
                <w:szCs w:val="28"/>
              </w:rPr>
            </w:pPr>
            <w:r w:rsidRPr="003470BA">
              <w:rPr>
                <w:rFonts w:ascii="Segoe UI Symbol" w:hAnsi="Segoe UI Symbol" w:cs="Segoe UI Symbol"/>
              </w:rPr>
              <w:t>☐</w:t>
            </w:r>
          </w:p>
        </w:tc>
        <w:tc>
          <w:tcPr>
            <w:tcW w:w="540" w:type="dxa"/>
            <w:tcBorders>
              <w:top w:val="nil"/>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center"/>
          </w:tcPr>
          <w:p w14:paraId="24D615B7" w14:textId="77777777" w:rsidR="00A95AC1" w:rsidRPr="003470BA" w:rsidRDefault="00A95AC1" w:rsidP="00A95AC1">
            <w:pPr>
              <w:pStyle w:val="NoSpacing"/>
              <w:jc w:val="center"/>
              <w:rPr>
                <w:sz w:val="28"/>
                <w:szCs w:val="28"/>
              </w:rPr>
            </w:pPr>
            <w:r w:rsidRPr="003470BA">
              <w:rPr>
                <w:rFonts w:ascii="Segoe UI Symbol" w:hAnsi="Segoe UI Symbol" w:cs="Segoe UI Symbol"/>
              </w:rPr>
              <w:t>☐</w:t>
            </w:r>
          </w:p>
        </w:tc>
        <w:tc>
          <w:tcPr>
            <w:tcW w:w="540" w:type="dxa"/>
            <w:tcBorders>
              <w:top w:val="nil"/>
              <w:left w:val="nil"/>
              <w:bottom w:val="single" w:sz="8" w:space="0" w:color="BFBFBF" w:themeColor="background1" w:themeShade="BF"/>
              <w:right w:val="dotted" w:sz="8" w:space="0" w:color="BFBFBF" w:themeColor="background1" w:themeShade="BF"/>
            </w:tcBorders>
            <w:tcMar>
              <w:left w:w="58" w:type="dxa"/>
              <w:right w:w="58" w:type="dxa"/>
            </w:tcMar>
            <w:vAlign w:val="center"/>
          </w:tcPr>
          <w:p w14:paraId="440BDFD4" w14:textId="77777777" w:rsidR="00A95AC1" w:rsidRPr="003470BA" w:rsidRDefault="00A95AC1" w:rsidP="00A95AC1">
            <w:pPr>
              <w:pStyle w:val="NoSpacing"/>
              <w:jc w:val="center"/>
              <w:rPr>
                <w:sz w:val="28"/>
                <w:szCs w:val="28"/>
              </w:rPr>
            </w:pPr>
            <w:r w:rsidRPr="003470BA">
              <w:rPr>
                <w:rFonts w:ascii="Segoe UI Symbol" w:hAnsi="Segoe UI Symbol" w:cs="Segoe UI Symbol"/>
              </w:rPr>
              <w:t>☐</w:t>
            </w:r>
          </w:p>
        </w:tc>
        <w:tc>
          <w:tcPr>
            <w:tcW w:w="810" w:type="dxa"/>
            <w:tcBorders>
              <w:top w:val="nil"/>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center"/>
          </w:tcPr>
          <w:p w14:paraId="16969365" w14:textId="77777777" w:rsidR="00A95AC1" w:rsidRPr="003470BA" w:rsidRDefault="00A95AC1" w:rsidP="00A95AC1">
            <w:pPr>
              <w:pStyle w:val="NoSpacing"/>
              <w:jc w:val="center"/>
              <w:rPr>
                <w:sz w:val="28"/>
                <w:szCs w:val="28"/>
              </w:rPr>
            </w:pPr>
            <w:r w:rsidRPr="003470BA">
              <w:rPr>
                <w:rFonts w:ascii="Segoe UI Symbol" w:hAnsi="Segoe UI Symbol" w:cs="Segoe UI Symbol"/>
              </w:rPr>
              <w:t>☐</w:t>
            </w:r>
          </w:p>
        </w:tc>
        <w:tc>
          <w:tcPr>
            <w:tcW w:w="810" w:type="dxa"/>
            <w:tcBorders>
              <w:top w:val="nil"/>
              <w:left w:val="dotted" w:sz="8" w:space="0" w:color="BFBFBF" w:themeColor="background1" w:themeShade="BF"/>
              <w:bottom w:val="single" w:sz="8" w:space="0" w:color="BFBFBF" w:themeColor="background1" w:themeShade="BF"/>
            </w:tcBorders>
            <w:tcMar>
              <w:left w:w="58" w:type="dxa"/>
              <w:right w:w="58" w:type="dxa"/>
            </w:tcMar>
            <w:vAlign w:val="center"/>
          </w:tcPr>
          <w:p w14:paraId="29A15931" w14:textId="77777777" w:rsidR="00A95AC1" w:rsidRPr="003470BA" w:rsidRDefault="00A95AC1" w:rsidP="00A95AC1">
            <w:pPr>
              <w:pStyle w:val="NoSpacing"/>
              <w:jc w:val="center"/>
              <w:rPr>
                <w:sz w:val="28"/>
                <w:szCs w:val="28"/>
              </w:rPr>
            </w:pPr>
            <w:r w:rsidRPr="003470BA">
              <w:rPr>
                <w:rFonts w:ascii="Segoe UI Symbol" w:hAnsi="Segoe UI Symbol" w:cs="Segoe UI Symbol"/>
              </w:rPr>
              <w:t>☐</w:t>
            </w:r>
          </w:p>
        </w:tc>
        <w:tc>
          <w:tcPr>
            <w:tcW w:w="3101"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2DE77BED" w14:textId="7251DADD" w:rsidR="00A95AC1" w:rsidRPr="00E21523" w:rsidRDefault="00A95AC1" w:rsidP="00A95AC1">
            <w:pPr>
              <w:pStyle w:val="NoSpacing"/>
              <w:rPr>
                <w:rFonts w:cs="Segoe UI Symbol"/>
              </w:rPr>
            </w:pPr>
            <w:r w:rsidRPr="00E21523">
              <w:t>Medication list updated</w:t>
            </w:r>
            <w:r w:rsidRPr="00E21523">
              <w:rPr>
                <w:rStyle w:val="EndnoteReference"/>
              </w:rPr>
              <w:endnoteReference w:id="50"/>
            </w:r>
          </w:p>
        </w:tc>
        <w:tc>
          <w:tcPr>
            <w:tcW w:w="3739" w:type="dxa"/>
            <w:vMerge w:val="restar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tcPr>
          <w:p w14:paraId="2771182D" w14:textId="77777777" w:rsidR="00A95AC1" w:rsidRPr="003470BA" w:rsidRDefault="00A95AC1" w:rsidP="00A95AC1"/>
          <w:p w14:paraId="38B93CDB" w14:textId="77777777" w:rsidR="00A95AC1" w:rsidRPr="003470BA" w:rsidRDefault="00A95AC1" w:rsidP="00A95AC1">
            <w:pPr>
              <w:pStyle w:val="NoSpacing"/>
            </w:pPr>
          </w:p>
        </w:tc>
      </w:tr>
      <w:tr w:rsidR="00A95AC1" w:rsidRPr="003470BA" w14:paraId="4DC18B4C" w14:textId="77777777" w:rsidTr="009C0BF0">
        <w:trPr>
          <w:trHeight w:val="187"/>
        </w:trPr>
        <w:tc>
          <w:tcPr>
            <w:tcW w:w="5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124A37AF" w14:textId="34F140C5" w:rsidR="00A95AC1" w:rsidRPr="003470BA" w:rsidRDefault="00A95AC1" w:rsidP="00A95AC1">
            <w:pPr>
              <w:pStyle w:val="NoSpacing"/>
              <w:jc w:val="center"/>
            </w:pPr>
            <w:r w:rsidRPr="003470BA">
              <w:rPr>
                <w:rFonts w:ascii="Segoe UI Symbol" w:hAnsi="Segoe UI Symbol" w:cs="Segoe UI Symbol"/>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4447014D" w14:textId="524A595A" w:rsidR="00A95AC1" w:rsidRPr="003470BA" w:rsidRDefault="00A95AC1" w:rsidP="00A95AC1">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center"/>
          </w:tcPr>
          <w:p w14:paraId="7309C0CF" w14:textId="36BF5217" w:rsidR="00A95AC1" w:rsidRPr="003470BA" w:rsidRDefault="00A95AC1" w:rsidP="00A95AC1">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center"/>
          </w:tcPr>
          <w:p w14:paraId="5836BD3C" w14:textId="3B406DA4" w:rsidR="00A95AC1" w:rsidRPr="003470BA" w:rsidRDefault="00A95AC1" w:rsidP="00A95AC1">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center"/>
          </w:tcPr>
          <w:p w14:paraId="47068056" w14:textId="7F4B51AE" w:rsidR="00A95AC1" w:rsidRPr="003470BA" w:rsidRDefault="00A95AC1" w:rsidP="00A95AC1">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center"/>
          </w:tcPr>
          <w:p w14:paraId="5F763F67" w14:textId="5FCA9FBB" w:rsidR="00A95AC1" w:rsidRPr="003470BA" w:rsidRDefault="00A95AC1" w:rsidP="00A95AC1">
            <w:pPr>
              <w:pStyle w:val="NoSpacing"/>
              <w:jc w:val="center"/>
            </w:pPr>
            <w:r w:rsidRPr="003470BA">
              <w:rPr>
                <w:rFonts w:ascii="Segoe UI Symbol" w:hAnsi="Segoe UI Symbol" w:cs="Segoe UI Symbol"/>
              </w:rPr>
              <w:t>☐</w:t>
            </w:r>
          </w:p>
        </w:tc>
        <w:tc>
          <w:tcPr>
            <w:tcW w:w="3101"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566B3C4A" w14:textId="4928CB6E" w:rsidR="00A95AC1" w:rsidRPr="00E21523" w:rsidRDefault="00A95AC1" w:rsidP="00A95AC1">
            <w:pPr>
              <w:pStyle w:val="NoSpacing"/>
            </w:pPr>
            <w:r w:rsidRPr="00E21523">
              <w:t>Lab/investigations planned</w:t>
            </w:r>
            <w:r w:rsidRPr="00E21523">
              <w:rPr>
                <w:rStyle w:val="EndnoteReference"/>
              </w:rPr>
              <w:endnoteReference w:id="51"/>
            </w:r>
            <w:r w:rsidRPr="00E21523">
              <w:t xml:space="preserve"> </w:t>
            </w:r>
          </w:p>
        </w:tc>
        <w:tc>
          <w:tcPr>
            <w:tcW w:w="373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6AF4D5F8" w14:textId="77777777" w:rsidR="00A95AC1" w:rsidRPr="003470BA" w:rsidRDefault="00A95AC1" w:rsidP="00A95AC1">
            <w:pPr>
              <w:pStyle w:val="NoSpacing"/>
            </w:pPr>
          </w:p>
        </w:tc>
      </w:tr>
      <w:tr w:rsidR="00A95AC1" w:rsidRPr="003470BA" w14:paraId="6493A3C9" w14:textId="77777777" w:rsidTr="009C0BF0">
        <w:trPr>
          <w:trHeight w:val="187"/>
        </w:trPr>
        <w:tc>
          <w:tcPr>
            <w:tcW w:w="5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5BE2BA7D" w14:textId="264E88EE" w:rsidR="00A95AC1" w:rsidRPr="003470BA" w:rsidRDefault="00A95AC1" w:rsidP="00A95AC1">
            <w:pPr>
              <w:pStyle w:val="NoSpacing"/>
              <w:jc w:val="center"/>
            </w:pPr>
            <w:r w:rsidRPr="003470BA">
              <w:rPr>
                <w:rFonts w:ascii="Segoe UI Symbol" w:hAnsi="Segoe UI Symbol" w:cs="Segoe UI Symbol"/>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24193C4E" w14:textId="0952B5BA" w:rsidR="00A95AC1" w:rsidRPr="003470BA" w:rsidRDefault="00A95AC1" w:rsidP="00A95AC1">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center"/>
          </w:tcPr>
          <w:p w14:paraId="772B4F94" w14:textId="64BD0F39" w:rsidR="00A95AC1" w:rsidRPr="003470BA" w:rsidRDefault="00A95AC1" w:rsidP="00A95AC1">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center"/>
          </w:tcPr>
          <w:p w14:paraId="5398D966" w14:textId="31BAF57C" w:rsidR="00A95AC1" w:rsidRPr="003470BA" w:rsidRDefault="00A95AC1" w:rsidP="00A95AC1">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center"/>
          </w:tcPr>
          <w:p w14:paraId="29D908FB" w14:textId="07897E8B" w:rsidR="00A95AC1" w:rsidRPr="003470BA" w:rsidRDefault="00A95AC1" w:rsidP="00A95AC1">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center"/>
          </w:tcPr>
          <w:p w14:paraId="063A4061" w14:textId="7B5E9FEC" w:rsidR="00A95AC1" w:rsidRPr="003470BA" w:rsidRDefault="00A95AC1" w:rsidP="00A95AC1">
            <w:pPr>
              <w:pStyle w:val="NoSpacing"/>
              <w:jc w:val="center"/>
            </w:pPr>
            <w:r w:rsidRPr="003470BA">
              <w:rPr>
                <w:rFonts w:ascii="Segoe UI Symbol" w:hAnsi="Segoe UI Symbol" w:cs="Segoe UI Symbol"/>
              </w:rPr>
              <w:t>☐</w:t>
            </w:r>
          </w:p>
        </w:tc>
        <w:tc>
          <w:tcPr>
            <w:tcW w:w="3101"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03C48FC0" w14:textId="215BDB00" w:rsidR="00A95AC1" w:rsidRPr="00E21523" w:rsidRDefault="00A95AC1" w:rsidP="00A95AC1">
            <w:pPr>
              <w:pStyle w:val="NoSpacing"/>
            </w:pPr>
            <w:r w:rsidRPr="00E21523">
              <w:t>Preventive/screening planned</w:t>
            </w:r>
            <w:r w:rsidRPr="00E21523">
              <w:rPr>
                <w:rStyle w:val="EndnoteReference"/>
              </w:rPr>
              <w:endnoteReference w:id="52"/>
            </w:r>
          </w:p>
        </w:tc>
        <w:tc>
          <w:tcPr>
            <w:tcW w:w="373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26CB694E" w14:textId="77777777" w:rsidR="00A95AC1" w:rsidRPr="003470BA" w:rsidRDefault="00A95AC1" w:rsidP="00A95AC1">
            <w:pPr>
              <w:pStyle w:val="NoSpacing"/>
            </w:pPr>
          </w:p>
        </w:tc>
      </w:tr>
      <w:tr w:rsidR="00A95AC1" w:rsidRPr="003470BA" w14:paraId="295F3FB4" w14:textId="77777777" w:rsidTr="009C0BF0">
        <w:trPr>
          <w:trHeight w:val="187"/>
        </w:trPr>
        <w:tc>
          <w:tcPr>
            <w:tcW w:w="5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065B06A4" w14:textId="2DE7D141" w:rsidR="00A95AC1" w:rsidRPr="003470BA" w:rsidRDefault="00A95AC1" w:rsidP="00A95AC1">
            <w:pPr>
              <w:pStyle w:val="NoSpacing"/>
              <w:jc w:val="center"/>
            </w:pPr>
            <w:r w:rsidRPr="003470BA">
              <w:rPr>
                <w:rFonts w:ascii="Segoe UI Symbol" w:hAnsi="Segoe UI Symbol" w:cs="Segoe UI Symbol"/>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6D1A6551" w14:textId="451266DA" w:rsidR="00A95AC1" w:rsidRPr="003470BA" w:rsidRDefault="00A95AC1" w:rsidP="00A95AC1">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center"/>
          </w:tcPr>
          <w:p w14:paraId="28ADC6EB" w14:textId="43FDF9DD" w:rsidR="00A95AC1" w:rsidRPr="003470BA" w:rsidRDefault="00A95AC1" w:rsidP="00A95AC1">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center"/>
          </w:tcPr>
          <w:p w14:paraId="2DB4EDD4" w14:textId="6C6865C5" w:rsidR="00A95AC1" w:rsidRPr="003470BA" w:rsidRDefault="00A95AC1" w:rsidP="00A95AC1">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center"/>
          </w:tcPr>
          <w:p w14:paraId="1114AA4C" w14:textId="40C85790" w:rsidR="00A95AC1" w:rsidRPr="003470BA" w:rsidRDefault="00A95AC1" w:rsidP="00A95AC1">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center"/>
          </w:tcPr>
          <w:p w14:paraId="60D5D5A3" w14:textId="782A1C83" w:rsidR="00A95AC1" w:rsidRPr="003470BA" w:rsidRDefault="00A95AC1" w:rsidP="00A95AC1">
            <w:pPr>
              <w:pStyle w:val="NoSpacing"/>
              <w:jc w:val="center"/>
            </w:pPr>
            <w:r w:rsidRPr="003470BA">
              <w:rPr>
                <w:rFonts w:ascii="Segoe UI Symbol" w:hAnsi="Segoe UI Symbol" w:cs="Segoe UI Symbol"/>
              </w:rPr>
              <w:t>☐</w:t>
            </w:r>
          </w:p>
        </w:tc>
        <w:tc>
          <w:tcPr>
            <w:tcW w:w="3101"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0671B89E" w14:textId="314B0274" w:rsidR="00A95AC1" w:rsidRPr="00E21523" w:rsidRDefault="00A95AC1" w:rsidP="00A95AC1">
            <w:pPr>
              <w:pStyle w:val="NoSpacing"/>
            </w:pPr>
            <w:r w:rsidRPr="00E21523">
              <w:t>Immunizations needed</w:t>
            </w:r>
            <w:r w:rsidRPr="00E21523">
              <w:rPr>
                <w:rStyle w:val="EndnoteReference"/>
              </w:rPr>
              <w:endnoteReference w:id="53"/>
            </w:r>
          </w:p>
        </w:tc>
        <w:tc>
          <w:tcPr>
            <w:tcW w:w="373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53C4362D" w14:textId="77777777" w:rsidR="00A95AC1" w:rsidRPr="003470BA" w:rsidRDefault="00A95AC1" w:rsidP="00A95AC1">
            <w:pPr>
              <w:pStyle w:val="NoSpacing"/>
            </w:pPr>
          </w:p>
        </w:tc>
      </w:tr>
      <w:tr w:rsidR="00A95AC1" w:rsidRPr="003470BA" w14:paraId="4F85638B" w14:textId="77777777" w:rsidTr="009C0BF0">
        <w:trPr>
          <w:trHeight w:val="187"/>
        </w:trPr>
        <w:tc>
          <w:tcPr>
            <w:tcW w:w="5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3A0D1235" w14:textId="31536655" w:rsidR="00A95AC1" w:rsidRPr="003470BA" w:rsidRDefault="00A95AC1" w:rsidP="00A95AC1">
            <w:pPr>
              <w:pStyle w:val="NoSpacing"/>
              <w:jc w:val="center"/>
            </w:pPr>
            <w:r w:rsidRPr="003470BA">
              <w:rPr>
                <w:rFonts w:ascii="Segoe UI Symbol" w:hAnsi="Segoe UI Symbol" w:cs="Segoe UI Symbol"/>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22806069" w14:textId="6E00A191" w:rsidR="00A95AC1" w:rsidRPr="003470BA" w:rsidRDefault="00A95AC1" w:rsidP="00A95AC1">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center"/>
          </w:tcPr>
          <w:p w14:paraId="31FF57DD" w14:textId="01676C4E" w:rsidR="00A95AC1" w:rsidRPr="003470BA" w:rsidRDefault="00A95AC1" w:rsidP="00A95AC1">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center"/>
          </w:tcPr>
          <w:p w14:paraId="2BDA8A36" w14:textId="7C151A98" w:rsidR="00A95AC1" w:rsidRPr="003470BA" w:rsidRDefault="00A95AC1" w:rsidP="00A95AC1">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center"/>
          </w:tcPr>
          <w:p w14:paraId="79F4F3AF" w14:textId="60D40A93" w:rsidR="00A95AC1" w:rsidRPr="003470BA" w:rsidRDefault="00A95AC1" w:rsidP="00A95AC1">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center"/>
          </w:tcPr>
          <w:p w14:paraId="45357803" w14:textId="0294D07E" w:rsidR="00A95AC1" w:rsidRPr="003470BA" w:rsidRDefault="00A95AC1" w:rsidP="00A95AC1">
            <w:pPr>
              <w:pStyle w:val="NoSpacing"/>
              <w:jc w:val="center"/>
            </w:pPr>
            <w:r w:rsidRPr="003470BA">
              <w:rPr>
                <w:rFonts w:ascii="Segoe UI Symbol" w:hAnsi="Segoe UI Symbol" w:cs="Segoe UI Symbol"/>
              </w:rPr>
              <w:t>☐</w:t>
            </w:r>
          </w:p>
        </w:tc>
        <w:tc>
          <w:tcPr>
            <w:tcW w:w="3101"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2F49D33F" w14:textId="65361BAB" w:rsidR="00A95AC1" w:rsidRPr="00E21523" w:rsidRDefault="00A95AC1" w:rsidP="00A95AC1">
            <w:pPr>
              <w:pStyle w:val="NoSpacing"/>
            </w:pPr>
            <w:r w:rsidRPr="00E21523">
              <w:t>Consultations needed</w:t>
            </w:r>
            <w:r w:rsidRPr="00E21523">
              <w:rPr>
                <w:rStyle w:val="EndnoteReference"/>
              </w:rPr>
              <w:endnoteReference w:id="54"/>
            </w:r>
          </w:p>
        </w:tc>
        <w:tc>
          <w:tcPr>
            <w:tcW w:w="373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3E39EEA7" w14:textId="77777777" w:rsidR="00A95AC1" w:rsidRPr="003470BA" w:rsidRDefault="00A95AC1" w:rsidP="00A95AC1">
            <w:pPr>
              <w:pStyle w:val="NoSpacing"/>
            </w:pPr>
          </w:p>
        </w:tc>
      </w:tr>
      <w:tr w:rsidR="00A95AC1" w:rsidRPr="003470BA" w14:paraId="119D24B1" w14:textId="77777777" w:rsidTr="009C0BF0">
        <w:trPr>
          <w:trHeight w:val="187"/>
        </w:trPr>
        <w:tc>
          <w:tcPr>
            <w:tcW w:w="5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0F349717" w14:textId="67899BCD" w:rsidR="00A95AC1" w:rsidRPr="003470BA" w:rsidRDefault="00A95AC1" w:rsidP="00A95AC1">
            <w:pPr>
              <w:pStyle w:val="NoSpacing"/>
              <w:jc w:val="center"/>
            </w:pPr>
            <w:r w:rsidRPr="003470BA">
              <w:rPr>
                <w:rFonts w:ascii="Segoe UI Symbol" w:hAnsi="Segoe UI Symbol" w:cs="Segoe UI Symbol"/>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6F94F823" w14:textId="294338DB" w:rsidR="00A95AC1" w:rsidRPr="003470BA" w:rsidRDefault="00A95AC1" w:rsidP="00A95AC1">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center"/>
          </w:tcPr>
          <w:p w14:paraId="41004C0E" w14:textId="77B297B7" w:rsidR="00A95AC1" w:rsidRPr="003470BA" w:rsidRDefault="00A95AC1" w:rsidP="00A95AC1">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center"/>
          </w:tcPr>
          <w:p w14:paraId="437279F2" w14:textId="50AA25F0" w:rsidR="00A95AC1" w:rsidRPr="003470BA" w:rsidRDefault="00A95AC1" w:rsidP="00A95AC1">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center"/>
          </w:tcPr>
          <w:p w14:paraId="19BD0FFC" w14:textId="41A68C62" w:rsidR="00A95AC1" w:rsidRPr="003470BA" w:rsidRDefault="00A95AC1" w:rsidP="00A95AC1">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center"/>
          </w:tcPr>
          <w:p w14:paraId="051AEC93" w14:textId="220F31D7" w:rsidR="00A95AC1" w:rsidRPr="003470BA" w:rsidRDefault="00A95AC1" w:rsidP="00A95AC1">
            <w:pPr>
              <w:pStyle w:val="NoSpacing"/>
              <w:jc w:val="center"/>
            </w:pPr>
            <w:r w:rsidRPr="003470BA">
              <w:rPr>
                <w:rFonts w:ascii="Segoe UI Symbol" w:hAnsi="Segoe UI Symbol" w:cs="Segoe UI Symbol"/>
              </w:rPr>
              <w:t>☐</w:t>
            </w:r>
          </w:p>
        </w:tc>
        <w:tc>
          <w:tcPr>
            <w:tcW w:w="3101"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74F27574" w14:textId="2B306E8C" w:rsidR="00A95AC1" w:rsidRPr="00E21523" w:rsidRDefault="00A95AC1" w:rsidP="00A95AC1">
            <w:pPr>
              <w:pStyle w:val="NoSpacing"/>
            </w:pPr>
            <w:r w:rsidRPr="00E21523">
              <w:t>Symptom monitoring tools suggest</w:t>
            </w:r>
            <w:r w:rsidRPr="00E21523">
              <w:rPr>
                <w:rStyle w:val="EndnoteReference"/>
              </w:rPr>
              <w:endnoteReference w:id="55"/>
            </w:r>
          </w:p>
        </w:tc>
        <w:tc>
          <w:tcPr>
            <w:tcW w:w="373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1490C9DF" w14:textId="77777777" w:rsidR="00A95AC1" w:rsidRPr="003470BA" w:rsidRDefault="00A95AC1" w:rsidP="00A95AC1">
            <w:pPr>
              <w:pStyle w:val="NoSpacing"/>
            </w:pPr>
          </w:p>
        </w:tc>
      </w:tr>
      <w:tr w:rsidR="00A95AC1" w:rsidRPr="003470BA" w14:paraId="7C623F81" w14:textId="77777777" w:rsidTr="009C0BF0">
        <w:trPr>
          <w:trHeight w:val="187"/>
        </w:trPr>
        <w:tc>
          <w:tcPr>
            <w:tcW w:w="5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50B2D13F" w14:textId="252AE7E8" w:rsidR="00A95AC1" w:rsidRPr="003470BA" w:rsidRDefault="00A95AC1" w:rsidP="00A95AC1">
            <w:pPr>
              <w:pStyle w:val="NoSpacing"/>
              <w:jc w:val="center"/>
            </w:pPr>
            <w:r w:rsidRPr="003470BA">
              <w:rPr>
                <w:rFonts w:ascii="Segoe UI Symbol" w:hAnsi="Segoe UI Symbol" w:cs="Segoe UI Symbol"/>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77123014" w14:textId="12E8E2BB" w:rsidR="00A95AC1" w:rsidRPr="003470BA" w:rsidRDefault="00A95AC1" w:rsidP="00A95AC1">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center"/>
          </w:tcPr>
          <w:p w14:paraId="0FCB7970" w14:textId="19734E35" w:rsidR="00A95AC1" w:rsidRPr="003470BA" w:rsidRDefault="00A95AC1" w:rsidP="00A95AC1">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center"/>
          </w:tcPr>
          <w:p w14:paraId="0BFE6F12" w14:textId="2A7E579C" w:rsidR="00A95AC1" w:rsidRPr="003470BA" w:rsidRDefault="00A95AC1" w:rsidP="00A95AC1">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center"/>
          </w:tcPr>
          <w:p w14:paraId="3AF7AD8D" w14:textId="2D64636B" w:rsidR="00A95AC1" w:rsidRPr="003470BA" w:rsidRDefault="00A95AC1" w:rsidP="00A95AC1">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center"/>
          </w:tcPr>
          <w:p w14:paraId="4AC9D3E9" w14:textId="3BF7C433" w:rsidR="00A95AC1" w:rsidRPr="003470BA" w:rsidRDefault="00A95AC1" w:rsidP="00A95AC1">
            <w:pPr>
              <w:pStyle w:val="NoSpacing"/>
              <w:jc w:val="center"/>
            </w:pPr>
            <w:r w:rsidRPr="003470BA">
              <w:rPr>
                <w:rFonts w:ascii="Segoe UI Symbol" w:hAnsi="Segoe UI Symbol" w:cs="Segoe UI Symbol"/>
              </w:rPr>
              <w:t>☐</w:t>
            </w:r>
          </w:p>
        </w:tc>
        <w:tc>
          <w:tcPr>
            <w:tcW w:w="3101"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3BD37BBE" w14:textId="12965E80" w:rsidR="00A95AC1" w:rsidRPr="00E21523" w:rsidRDefault="00A95AC1" w:rsidP="00A95AC1">
            <w:pPr>
              <w:pStyle w:val="NoSpacing"/>
            </w:pPr>
            <w:r w:rsidRPr="00E21523">
              <w:t>Patient education material provide</w:t>
            </w:r>
            <w:r w:rsidRPr="00E21523">
              <w:rPr>
                <w:rStyle w:val="EndnoteReference"/>
              </w:rPr>
              <w:endnoteReference w:id="56"/>
            </w:r>
          </w:p>
        </w:tc>
        <w:tc>
          <w:tcPr>
            <w:tcW w:w="373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3B3F09A8" w14:textId="77777777" w:rsidR="00A95AC1" w:rsidRPr="003470BA" w:rsidRDefault="00A95AC1" w:rsidP="00A95AC1">
            <w:pPr>
              <w:pStyle w:val="NoSpacing"/>
            </w:pPr>
          </w:p>
        </w:tc>
      </w:tr>
      <w:tr w:rsidR="00A95AC1" w:rsidRPr="003470BA" w14:paraId="55B073EC" w14:textId="77777777" w:rsidTr="009C0BF0">
        <w:trPr>
          <w:trHeight w:val="187"/>
        </w:trPr>
        <w:tc>
          <w:tcPr>
            <w:tcW w:w="5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6CC94FE5" w14:textId="7A0F805A" w:rsidR="00A95AC1" w:rsidRPr="003470BA" w:rsidRDefault="00A95AC1" w:rsidP="00A95AC1">
            <w:pPr>
              <w:pStyle w:val="NoSpacing"/>
              <w:jc w:val="center"/>
            </w:pPr>
            <w:r w:rsidRPr="003470BA">
              <w:rPr>
                <w:rFonts w:ascii="Segoe UI Symbol" w:hAnsi="Segoe UI Symbol" w:cs="Segoe UI Symbol"/>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020AEFB8" w14:textId="0B4EEA1E" w:rsidR="00A95AC1" w:rsidRPr="003470BA" w:rsidRDefault="00A95AC1" w:rsidP="00A95AC1">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center"/>
          </w:tcPr>
          <w:p w14:paraId="789B0C21" w14:textId="778BF688" w:rsidR="00A95AC1" w:rsidRPr="003470BA" w:rsidRDefault="00A95AC1" w:rsidP="00A95AC1">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center"/>
          </w:tcPr>
          <w:p w14:paraId="6F2D4739" w14:textId="4BF3B2F8" w:rsidR="00A95AC1" w:rsidRPr="003470BA" w:rsidRDefault="00A95AC1" w:rsidP="00A95AC1">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center"/>
          </w:tcPr>
          <w:p w14:paraId="37124294" w14:textId="7F46D536" w:rsidR="00A95AC1" w:rsidRPr="003470BA" w:rsidRDefault="00A95AC1" w:rsidP="00A95AC1">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center"/>
          </w:tcPr>
          <w:p w14:paraId="5290FEC2" w14:textId="2B2EA0C3" w:rsidR="00A95AC1" w:rsidRPr="003470BA" w:rsidRDefault="00A95AC1" w:rsidP="00A95AC1">
            <w:pPr>
              <w:pStyle w:val="NoSpacing"/>
              <w:jc w:val="center"/>
            </w:pPr>
            <w:r w:rsidRPr="003470BA">
              <w:rPr>
                <w:rFonts w:ascii="Segoe UI Symbol" w:hAnsi="Segoe UI Symbol" w:cs="Segoe UI Symbol"/>
              </w:rPr>
              <w:t>☐</w:t>
            </w:r>
          </w:p>
        </w:tc>
        <w:tc>
          <w:tcPr>
            <w:tcW w:w="3101"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1F8A2DE6" w14:textId="04E6EEB8" w:rsidR="00A95AC1" w:rsidRPr="00E21523" w:rsidRDefault="00A95AC1" w:rsidP="00A95AC1">
            <w:pPr>
              <w:pStyle w:val="NoSpacing"/>
            </w:pPr>
            <w:r w:rsidRPr="00E21523">
              <w:t>Financial resources needed</w:t>
            </w:r>
            <w:r w:rsidRPr="00E21523">
              <w:rPr>
                <w:rStyle w:val="EndnoteReference"/>
              </w:rPr>
              <w:endnoteReference w:id="57"/>
            </w:r>
            <w:r w:rsidRPr="00E21523">
              <w:t xml:space="preserve"> </w:t>
            </w:r>
          </w:p>
        </w:tc>
        <w:tc>
          <w:tcPr>
            <w:tcW w:w="373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130F86BB" w14:textId="77777777" w:rsidR="00A95AC1" w:rsidRPr="003470BA" w:rsidRDefault="00A95AC1" w:rsidP="00A95AC1">
            <w:pPr>
              <w:pStyle w:val="NoSpacing"/>
            </w:pPr>
          </w:p>
        </w:tc>
      </w:tr>
      <w:tr w:rsidR="00A95AC1" w:rsidRPr="003470BA" w14:paraId="65CF3497" w14:textId="77777777" w:rsidTr="009C0BF0">
        <w:trPr>
          <w:trHeight w:val="187"/>
        </w:trPr>
        <w:tc>
          <w:tcPr>
            <w:tcW w:w="5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752F1E66" w14:textId="3FBBEB11" w:rsidR="00A95AC1" w:rsidRPr="003470BA" w:rsidRDefault="00A95AC1" w:rsidP="00A95AC1">
            <w:pPr>
              <w:pStyle w:val="NoSpacing"/>
              <w:jc w:val="center"/>
            </w:pPr>
            <w:r w:rsidRPr="003470BA">
              <w:rPr>
                <w:rFonts w:ascii="Segoe UI Symbol" w:hAnsi="Segoe UI Symbol" w:cs="Segoe UI Symbol"/>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2BAE2CB6" w14:textId="6D782DA1" w:rsidR="00A95AC1" w:rsidRPr="003470BA" w:rsidRDefault="00A95AC1" w:rsidP="00A95AC1">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center"/>
          </w:tcPr>
          <w:p w14:paraId="53F60D1F" w14:textId="4F7DB0D9" w:rsidR="00A95AC1" w:rsidRPr="003470BA" w:rsidRDefault="00A95AC1" w:rsidP="00A95AC1">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center"/>
          </w:tcPr>
          <w:p w14:paraId="21623149" w14:textId="5F25AFE1" w:rsidR="00A95AC1" w:rsidRPr="003470BA" w:rsidRDefault="00A95AC1" w:rsidP="00A95AC1">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center"/>
          </w:tcPr>
          <w:p w14:paraId="4F097AE3" w14:textId="5B6E748C" w:rsidR="00A95AC1" w:rsidRPr="003470BA" w:rsidRDefault="00A95AC1" w:rsidP="00A95AC1">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center"/>
          </w:tcPr>
          <w:p w14:paraId="39BC273D" w14:textId="36DA1036" w:rsidR="00A95AC1" w:rsidRPr="003470BA" w:rsidRDefault="00A95AC1" w:rsidP="00A95AC1">
            <w:pPr>
              <w:pStyle w:val="NoSpacing"/>
              <w:jc w:val="center"/>
            </w:pPr>
            <w:r w:rsidRPr="003470BA">
              <w:rPr>
                <w:rFonts w:ascii="Segoe UI Symbol" w:hAnsi="Segoe UI Symbol" w:cs="Segoe UI Symbol"/>
              </w:rPr>
              <w:t>☐</w:t>
            </w:r>
          </w:p>
        </w:tc>
        <w:tc>
          <w:tcPr>
            <w:tcW w:w="3101"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023A21A9" w14:textId="2D26AA84" w:rsidR="00A95AC1" w:rsidRPr="00E21523" w:rsidRDefault="00A95AC1" w:rsidP="00A95AC1">
            <w:pPr>
              <w:pStyle w:val="NoSpacing"/>
            </w:pPr>
            <w:r w:rsidRPr="00E21523">
              <w:t>Follow up appointment planned</w:t>
            </w:r>
          </w:p>
        </w:tc>
        <w:tc>
          <w:tcPr>
            <w:tcW w:w="373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0B2A0359" w14:textId="77777777" w:rsidR="00A95AC1" w:rsidRPr="003470BA" w:rsidRDefault="00A95AC1" w:rsidP="00A95AC1">
            <w:pPr>
              <w:pStyle w:val="NoSpacing"/>
            </w:pPr>
          </w:p>
        </w:tc>
      </w:tr>
      <w:tr w:rsidR="00A95AC1" w:rsidRPr="003470BA" w14:paraId="7527A1BE" w14:textId="77777777" w:rsidTr="009C0BF0">
        <w:trPr>
          <w:trHeight w:val="187"/>
        </w:trPr>
        <w:tc>
          <w:tcPr>
            <w:tcW w:w="5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37D36388" w14:textId="2735B415" w:rsidR="00A95AC1" w:rsidRPr="003470BA" w:rsidRDefault="00A95AC1" w:rsidP="00A95AC1">
            <w:pPr>
              <w:pStyle w:val="NoSpacing"/>
              <w:jc w:val="center"/>
            </w:pPr>
            <w:r w:rsidRPr="003470BA">
              <w:rPr>
                <w:rFonts w:ascii="Segoe UI Symbol" w:hAnsi="Segoe UI Symbol" w:cs="Segoe UI Symbol"/>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439E2163" w14:textId="367B6430" w:rsidR="00A95AC1" w:rsidRPr="003470BA" w:rsidRDefault="00A95AC1" w:rsidP="00A95AC1">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center"/>
          </w:tcPr>
          <w:p w14:paraId="2473A9A9" w14:textId="23F64EF9" w:rsidR="00A95AC1" w:rsidRPr="003470BA" w:rsidRDefault="00A95AC1" w:rsidP="00A95AC1">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center"/>
          </w:tcPr>
          <w:p w14:paraId="044071F2" w14:textId="43D93822" w:rsidR="00A95AC1" w:rsidRPr="003470BA" w:rsidRDefault="00A95AC1" w:rsidP="00A95AC1">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center"/>
          </w:tcPr>
          <w:p w14:paraId="375FF136" w14:textId="377A097C" w:rsidR="00A95AC1" w:rsidRPr="003470BA" w:rsidRDefault="00A95AC1" w:rsidP="00A95AC1">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center"/>
          </w:tcPr>
          <w:p w14:paraId="76B5631B" w14:textId="66ACCA5F" w:rsidR="00A95AC1" w:rsidRPr="003470BA" w:rsidRDefault="00A95AC1" w:rsidP="00A95AC1">
            <w:pPr>
              <w:pStyle w:val="NoSpacing"/>
              <w:jc w:val="center"/>
            </w:pPr>
            <w:r w:rsidRPr="003470BA">
              <w:rPr>
                <w:rFonts w:ascii="Segoe UI Symbol" w:hAnsi="Segoe UI Symbol" w:cs="Segoe UI Symbol"/>
              </w:rPr>
              <w:t>☐</w:t>
            </w:r>
          </w:p>
        </w:tc>
        <w:tc>
          <w:tcPr>
            <w:tcW w:w="3101"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27A7EF62" w14:textId="3F6855EE" w:rsidR="00A95AC1" w:rsidRPr="00E21523" w:rsidRDefault="00A95AC1" w:rsidP="00A95AC1">
            <w:pPr>
              <w:pStyle w:val="NoSpacing"/>
            </w:pPr>
            <w:r w:rsidRPr="00E21523">
              <w:t>Record of visit given to patient</w:t>
            </w:r>
            <w:r w:rsidRPr="00E21523">
              <w:rPr>
                <w:rStyle w:val="EndnoteReference"/>
              </w:rPr>
              <w:endnoteReference w:id="58"/>
            </w:r>
          </w:p>
        </w:tc>
        <w:tc>
          <w:tcPr>
            <w:tcW w:w="373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70973DB8" w14:textId="77777777" w:rsidR="00A95AC1" w:rsidRPr="003470BA" w:rsidRDefault="00A95AC1" w:rsidP="00A95AC1">
            <w:pPr>
              <w:pStyle w:val="NoSpacing"/>
            </w:pPr>
          </w:p>
        </w:tc>
      </w:tr>
      <w:tr w:rsidR="00A95AC1" w:rsidRPr="003470BA" w14:paraId="72830AF0" w14:textId="77777777" w:rsidTr="009C0BF0">
        <w:trPr>
          <w:trHeight w:val="187"/>
        </w:trPr>
        <w:tc>
          <w:tcPr>
            <w:tcW w:w="5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50613AC5" w14:textId="77777777" w:rsidR="00A95AC1" w:rsidRPr="003470BA" w:rsidRDefault="00A95AC1" w:rsidP="00A95AC1">
            <w:pPr>
              <w:pStyle w:val="NoSpacing"/>
              <w:jc w:val="center"/>
              <w:rPr>
                <w:sz w:val="28"/>
                <w:szCs w:val="28"/>
              </w:rPr>
            </w:pPr>
            <w:r w:rsidRPr="003470BA">
              <w:rPr>
                <w:rFonts w:ascii="Segoe UI Symbol" w:hAnsi="Segoe UI Symbol" w:cs="Segoe UI Symbol"/>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3D187839" w14:textId="77777777" w:rsidR="00A95AC1" w:rsidRPr="003470BA" w:rsidRDefault="00A95AC1" w:rsidP="00A95AC1">
            <w:pPr>
              <w:pStyle w:val="NoSpacing"/>
              <w:jc w:val="center"/>
              <w:rPr>
                <w:sz w:val="28"/>
                <w:szCs w:val="28"/>
              </w:rPr>
            </w:pPr>
            <w:r w:rsidRPr="003470BA">
              <w:rPr>
                <w:rFonts w:ascii="Segoe UI Symbol" w:hAnsi="Segoe UI Symbol" w:cs="Segoe UI Symbol"/>
              </w:rPr>
              <w:t>☐</w:t>
            </w:r>
          </w:p>
        </w:tc>
        <w:tc>
          <w:tcPr>
            <w:tcW w:w="54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center"/>
          </w:tcPr>
          <w:p w14:paraId="6EC908AF" w14:textId="77777777" w:rsidR="00A95AC1" w:rsidRPr="003470BA" w:rsidRDefault="00A95AC1" w:rsidP="00A95AC1">
            <w:pPr>
              <w:pStyle w:val="NoSpacing"/>
              <w:jc w:val="center"/>
              <w:rPr>
                <w:sz w:val="28"/>
                <w:szCs w:val="28"/>
              </w:rPr>
            </w:pPr>
            <w:r w:rsidRPr="003470BA">
              <w:rPr>
                <w:rFonts w:ascii="Segoe UI Symbol" w:hAnsi="Segoe UI Symbol" w:cs="Segoe UI Symbol"/>
              </w:rPr>
              <w:t>☐</w:t>
            </w:r>
          </w:p>
        </w:tc>
        <w:tc>
          <w:tcPr>
            <w:tcW w:w="54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center"/>
          </w:tcPr>
          <w:p w14:paraId="315F0395" w14:textId="77777777" w:rsidR="00A95AC1" w:rsidRPr="003470BA" w:rsidRDefault="00A95AC1" w:rsidP="00A95AC1">
            <w:pPr>
              <w:pStyle w:val="NoSpacing"/>
              <w:jc w:val="center"/>
              <w:rPr>
                <w:sz w:val="28"/>
                <w:szCs w:val="28"/>
              </w:rP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center"/>
          </w:tcPr>
          <w:p w14:paraId="25193516" w14:textId="77777777" w:rsidR="00A95AC1" w:rsidRPr="003470BA" w:rsidRDefault="00A95AC1" w:rsidP="00A95AC1">
            <w:pPr>
              <w:pStyle w:val="NoSpacing"/>
              <w:jc w:val="center"/>
              <w:rPr>
                <w:sz w:val="28"/>
                <w:szCs w:val="28"/>
              </w:rP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center"/>
          </w:tcPr>
          <w:p w14:paraId="53164B2F" w14:textId="77777777" w:rsidR="00A95AC1" w:rsidRPr="003470BA" w:rsidRDefault="00A95AC1" w:rsidP="00A95AC1">
            <w:pPr>
              <w:pStyle w:val="NoSpacing"/>
              <w:jc w:val="center"/>
              <w:rPr>
                <w:sz w:val="28"/>
                <w:szCs w:val="28"/>
              </w:rPr>
            </w:pPr>
            <w:r w:rsidRPr="003470BA">
              <w:rPr>
                <w:rFonts w:ascii="Segoe UI Symbol" w:hAnsi="Segoe UI Symbol" w:cs="Segoe UI Symbol"/>
              </w:rPr>
              <w:t>☐</w:t>
            </w:r>
          </w:p>
        </w:tc>
        <w:tc>
          <w:tcPr>
            <w:tcW w:w="3101"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194F1AC6" w14:textId="46D84463" w:rsidR="00A95AC1" w:rsidRPr="00E21523" w:rsidRDefault="00A95AC1" w:rsidP="00A95AC1">
            <w:pPr>
              <w:pStyle w:val="NoSpacing"/>
              <w:rPr>
                <w:rFonts w:cs="Segoe UI Symbol"/>
              </w:rPr>
            </w:pPr>
            <w:r w:rsidRPr="00E21523">
              <w:t>Other</w:t>
            </w:r>
          </w:p>
        </w:tc>
        <w:tc>
          <w:tcPr>
            <w:tcW w:w="373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0AC2E976" w14:textId="77777777" w:rsidR="00A95AC1" w:rsidRPr="003470BA" w:rsidRDefault="00A95AC1" w:rsidP="00A95AC1">
            <w:pPr>
              <w:pStyle w:val="NoSpacing"/>
            </w:pPr>
          </w:p>
        </w:tc>
      </w:tr>
      <w:bookmarkEnd w:id="0"/>
    </w:tbl>
    <w:p w14:paraId="71C1D8AE" w14:textId="77777777" w:rsidR="00954275" w:rsidRPr="003470BA" w:rsidRDefault="00954275" w:rsidP="00941025">
      <w:pPr>
        <w:sectPr w:rsidR="00954275" w:rsidRPr="003470BA" w:rsidSect="001C7FEB">
          <w:footerReference w:type="default" r:id="rId13"/>
          <w:footerReference w:type="first" r:id="rId14"/>
          <w:endnotePr>
            <w:numFmt w:val="decimal"/>
          </w:endnotePr>
          <w:pgSz w:w="12240" w:h="15840"/>
          <w:pgMar w:top="720" w:right="540" w:bottom="990" w:left="720" w:header="432" w:footer="432" w:gutter="0"/>
          <w:pgNumType w:fmt="lowerRoman" w:start="1"/>
          <w:cols w:space="708"/>
          <w:titlePg/>
          <w:docGrid w:linePitch="360"/>
        </w:sectPr>
      </w:pPr>
    </w:p>
    <w:p w14:paraId="6A6B49F3" w14:textId="3246ED8E" w:rsidR="00253DC3" w:rsidRPr="003470BA" w:rsidRDefault="00253DC3" w:rsidP="00941025"/>
    <w:sectPr w:rsidR="00253DC3" w:rsidRPr="003470BA" w:rsidSect="00033DE5">
      <w:headerReference w:type="default" r:id="rId15"/>
      <w:headerReference w:type="first" r:id="rId16"/>
      <w:endnotePr>
        <w:numFmt w:val="decimal"/>
      </w:endnotePr>
      <w:pgSz w:w="12240" w:h="15840"/>
      <w:pgMar w:top="720" w:right="720" w:bottom="720" w:left="720" w:header="432" w:footer="432" w:gutter="0"/>
      <w:pgNumType w:fmt="upperRoman"/>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FB3A" w14:textId="77777777" w:rsidR="001B1F57" w:rsidRDefault="001B1F57" w:rsidP="00941025">
      <w:r>
        <w:separator/>
      </w:r>
    </w:p>
  </w:endnote>
  <w:endnote w:type="continuationSeparator" w:id="0">
    <w:p w14:paraId="5CB2B63B" w14:textId="77777777" w:rsidR="001B1F57" w:rsidRDefault="001B1F57" w:rsidP="00941025">
      <w:r>
        <w:continuationSeparator/>
      </w:r>
    </w:p>
  </w:endnote>
  <w:endnote w:type="continuationNotice" w:id="1">
    <w:p w14:paraId="2D54FD72" w14:textId="77777777" w:rsidR="001B1F57" w:rsidRDefault="001B1F57" w:rsidP="00941025"/>
  </w:endnote>
  <w:endnote w:id="2">
    <w:p w14:paraId="085ACF81" w14:textId="2ECB34F8" w:rsidR="00080F4A" w:rsidRDefault="00080F4A" w:rsidP="00837BF6">
      <w:pPr>
        <w:pStyle w:val="Endnote-H4"/>
      </w:pPr>
      <w:r>
        <w:rPr>
          <w:rStyle w:val="EndnoteReference"/>
        </w:rPr>
        <w:endnoteRef/>
      </w:r>
      <w:r>
        <w:t xml:space="preserve"> </w:t>
      </w:r>
      <w:r w:rsidRPr="00C35E5B">
        <w:t>Introduction</w:t>
      </w:r>
    </w:p>
    <w:p w14:paraId="1297A8F5" w14:textId="67D1A32C" w:rsidR="00080F4A" w:rsidRPr="006556E2" w:rsidRDefault="00080F4A" w:rsidP="00A14424">
      <w:pPr>
        <w:pStyle w:val="Endnote-H5"/>
      </w:pPr>
      <w:r w:rsidRPr="006556E2">
        <w:t xml:space="preserve">What </w:t>
      </w:r>
      <w:r w:rsidR="006920B7">
        <w:t>ARE INTELLECTUAL AND DEVELOPMENTAL DISABILITIES</w:t>
      </w:r>
      <w:r w:rsidRPr="006556E2">
        <w:t>?</w:t>
      </w:r>
    </w:p>
    <w:p w14:paraId="5F397733" w14:textId="0574E47F" w:rsidR="00080F4A" w:rsidRDefault="000D3FAB" w:rsidP="00A14424">
      <w:pPr>
        <w:pStyle w:val="Endnote-Link"/>
      </w:pPr>
      <w:r w:rsidRPr="000D3FAB">
        <w:t>Intellectual and Developmental Disabilities (IDD) refers to various life-long limitations in intellectual functioning and conceptual, social, or practical skills that emerge in persons before the age of 18 years. These limitation</w:t>
      </w:r>
      <w:r w:rsidR="002F1A4A">
        <w:t>s</w:t>
      </w:r>
      <w:r w:rsidRPr="000D3FAB">
        <w:t xml:space="preserve"> differ in severity and type among people with IDD and can vary during a person’s lifespan. IDD may or may not be associated with specific conditions (</w:t>
      </w:r>
      <w:proofErr w:type="spellStart"/>
      <w:r w:rsidRPr="000D3FAB">
        <w:t>eg</w:t>
      </w:r>
      <w:proofErr w:type="spellEnd"/>
      <w:r w:rsidRPr="000D3FAB">
        <w:t>, Down syndrome and other genetic disorders, Autism Spectrum Disorder, Fetal Alcohol Spectrum Disorder, Cerebral Palsy). Persons with IDD may have problems learning to live independently. They may also have poorer physical and mental health than those without IDD and experience more barriers to health care.</w:t>
      </w:r>
    </w:p>
    <w:p w14:paraId="56D0B191" w14:textId="77777777" w:rsidR="00346315" w:rsidRDefault="00346315" w:rsidP="00A14424">
      <w:pPr>
        <w:pStyle w:val="Endnote-Link"/>
        <w:rPr>
          <w:b/>
          <w:bCs/>
          <w:caps/>
        </w:rPr>
      </w:pPr>
      <w:r w:rsidRPr="00346315">
        <w:rPr>
          <w:b/>
          <w:bCs/>
          <w:caps/>
        </w:rPr>
        <w:t>What is an IDD Health Check?</w:t>
      </w:r>
    </w:p>
    <w:p w14:paraId="02E54CC8" w14:textId="400C66DF" w:rsidR="00080F4A" w:rsidRPr="00DC3321" w:rsidRDefault="0086323F" w:rsidP="00A14424">
      <w:pPr>
        <w:pStyle w:val="Endnote-Link"/>
      </w:pPr>
      <w:r w:rsidRPr="0086323F">
        <w:t>An IDD Health Check is a proactive, comprehensive health review, including physical exam. It is a strategy, in the form of steps familiar to primary care practitioners, to deal with the complexity in health issues for adults with IDD. Health Checks have been shown in randomized controlled trials to identify undiagnosed health issues, increase preventive care maneuvers, and to increase satisfaction of patients and their family doctors.</w:t>
      </w:r>
    </w:p>
    <w:p w14:paraId="1C129F0E" w14:textId="4FD3B54A" w:rsidR="00080F4A" w:rsidRPr="00DC3321" w:rsidRDefault="00BB58FF" w:rsidP="00432CA4">
      <w:pPr>
        <w:pStyle w:val="Endnote-H5"/>
      </w:pPr>
      <w:r w:rsidRPr="00BB58FF">
        <w:t>When</w:t>
      </w:r>
      <w:r w:rsidR="00080F4A" w:rsidRPr="00DC3321">
        <w:t xml:space="preserve"> to use Health Checks</w:t>
      </w:r>
    </w:p>
    <w:p w14:paraId="187A296F" w14:textId="77777777" w:rsidR="003B66C1" w:rsidRDefault="003B66C1" w:rsidP="003B66C1">
      <w:pPr>
        <w:pStyle w:val="Endnote-Link"/>
      </w:pPr>
      <w:r>
        <w:t xml:space="preserve">A Health Check is not meant for a typical short office visit when a patient presents initially with a symptom. In that situation, think of common health problems in persons with IDD and how both common and uncommon illnesses may present atypically in patients who communicate differently. </w:t>
      </w:r>
    </w:p>
    <w:p w14:paraId="21945148" w14:textId="77777777" w:rsidR="003B66C1" w:rsidRDefault="003B66C1" w:rsidP="003B66C1">
      <w:pPr>
        <w:pStyle w:val="Endnote-Link"/>
      </w:pPr>
      <w:r>
        <w:t>Common health problems include side effects of drugs; dental issues, constipation, gastroesophageal reflux, aspiration; seizure activity; sleep problems; pain (how would we know if there was pain in this patient?);  co-morbidities associated with the patient’s syndrome if known; a change in social relationships or physical environment and a history of adverse life experiences or a psychiatric disorder</w:t>
      </w:r>
    </w:p>
    <w:p w14:paraId="51FEF559" w14:textId="77777777" w:rsidR="003B66C1" w:rsidRDefault="003B66C1" w:rsidP="003B66C1">
      <w:pPr>
        <w:pStyle w:val="Endnote-Link"/>
      </w:pPr>
      <w:r>
        <w:t>It may be helpful to plan a Health Check as part of the problem-solving for a non-urgent health problem that remains unexplained. It is not a standard for family practice to undertake all the multiple health services or organize all the social services suggested in this tool. But it may be useful to know the options to discuss with patients and caregivers and, depending on community resources, make referrals.</w:t>
      </w:r>
    </w:p>
    <w:p w14:paraId="3D172808" w14:textId="77777777" w:rsidR="003B66C1" w:rsidRDefault="003B66C1" w:rsidP="00432CA4">
      <w:pPr>
        <w:pStyle w:val="Endnote-H5"/>
      </w:pPr>
      <w:r>
        <w:t>How to use Health Checks</w:t>
      </w:r>
    </w:p>
    <w:p w14:paraId="3C67866F" w14:textId="77777777" w:rsidR="00080F4A" w:rsidRPr="00DC3321" w:rsidRDefault="00080F4A" w:rsidP="00A14424">
      <w:pPr>
        <w:pStyle w:val="Endnote-Link"/>
      </w:pPr>
      <w:r w:rsidRPr="00DC3321">
        <w:t xml:space="preserve">A Health Check likely takes more than one encounter because of the time needed to communicate effectively, to address barriers to health care and to coordinate both health and social care services. For some patients, a Health Check could be like an annual physical and accomplished over a couple of visits. For others, the Health Check could be an outline for an annual program of proactive care through regular visits every two or three months. </w:t>
      </w:r>
    </w:p>
    <w:p w14:paraId="6A9D2DC2" w14:textId="77777777" w:rsidR="00080F4A" w:rsidRPr="00DC3321" w:rsidRDefault="00080F4A" w:rsidP="00A14424">
      <w:pPr>
        <w:pStyle w:val="Endnote-Link"/>
      </w:pPr>
      <w:r w:rsidRPr="00DC3321">
        <w:t>Some parts of a Health Check could be done by other staff if available in your practice</w:t>
      </w:r>
      <w:r w:rsidR="003B66C1">
        <w:t>. For example, clerical staff could do Step 1, the initial encounter and explanation; patients/caregivers could prepare background information for Steps 2, 3 and 4, through questionnaires, (</w:t>
      </w:r>
      <w:proofErr w:type="spellStart"/>
      <w:r w:rsidR="003B66C1">
        <w:t>eg</w:t>
      </w:r>
      <w:proofErr w:type="spellEnd"/>
      <w:r w:rsidR="003B66C1">
        <w:t>, “About My Health”, “My Health Care Visit”); these questionnaires could also serve to involve the patient and caregiver in the process. The OCEAN by CognisantMD versions can integrate these forms in several EMRs; A practice nurse could enter the data into the CPP and Systems Review sections of the medical record template.</w:t>
      </w:r>
    </w:p>
    <w:p w14:paraId="2AF158B9" w14:textId="5A4F0314" w:rsidR="003B66C1" w:rsidRDefault="003B66C1" w:rsidP="003B66C1">
      <w:pPr>
        <w:pStyle w:val="Endnote-Link"/>
      </w:pPr>
      <w:r>
        <w:t>Some patients with IDD can benefit from phone or video-based appointments. These may be appropriate for patients who have high anxiety travelling to appointments or waiting in the waiting room, are supported by caregivers who do not live locally, or have frequent routine appointments. Some patients are more difficult to engage by phone and</w:t>
      </w:r>
      <w:r w:rsidR="00057804">
        <w:t>,</w:t>
      </w:r>
      <w:r>
        <w:t xml:space="preserve"> in these cases</w:t>
      </w:r>
      <w:r w:rsidR="00057804">
        <w:t>,</w:t>
      </w:r>
      <w:r>
        <w:t xml:space="preserve"> video can be a better option to support engagement and communication. If home visits are not possible, video can be a critical tool to reach patients who are homebound and allow providers to see patients in their home environments.  </w:t>
      </w:r>
    </w:p>
    <w:p w14:paraId="07E5849B" w14:textId="77777777" w:rsidR="003B66C1" w:rsidRDefault="003B66C1" w:rsidP="003B66C1">
      <w:pPr>
        <w:pStyle w:val="Endnote-Link"/>
      </w:pPr>
      <w:r>
        <w:t xml:space="preserve">Note that video/phone visits may not be appropriate for new patients, if the health issue is new or complex, if the patient/caregiver does not have access to necessary technology, if the patient doesn’t have a private space to participate, or if the patient is unable to be included in the virtual interaction. For patients with IDD who are less able to describe their symptoms, a physical exam may play a more important role in their care.  </w:t>
      </w:r>
    </w:p>
    <w:p w14:paraId="0B1CE828" w14:textId="77777777" w:rsidR="003B66C1" w:rsidRDefault="003B66C1" w:rsidP="003B66C1">
      <w:pPr>
        <w:pStyle w:val="Endnote-Link"/>
      </w:pPr>
      <w:r>
        <w:t xml:space="preserve">Phone or video visits can also be used as one component of a health check to increase efficiency and make the appointment more manageable for the patient. For example, the patient history can be obtained through an initial phone call with the caregiver and then a shorter in-person appointment can be conducted with the patient.   </w:t>
      </w:r>
    </w:p>
    <w:p w14:paraId="6F0302B2" w14:textId="42693143" w:rsidR="003B66C1" w:rsidRPr="00B5547B" w:rsidRDefault="003B66C1" w:rsidP="003B66C1">
      <w:pPr>
        <w:pStyle w:val="Endnote-Link"/>
      </w:pPr>
      <w:r>
        <w:t xml:space="preserve">Consider the practice-level task of identifying the adults with IDD as a group to enable a practice-wide application of Health Checks or other systematic interventions for adults with IDD. Identification could start with making a list of adults </w:t>
      </w:r>
      <w:r w:rsidRPr="00B5547B">
        <w:t xml:space="preserve">with IDD based on your and your staff’s knowledge of the practice’s patients. Another method would be to search your EMR, using search terms in the tool, </w:t>
      </w:r>
      <w:hyperlink r:id="rId1" w:history="1">
        <w:r w:rsidRPr="00B5547B">
          <w:rPr>
            <w:rStyle w:val="Hyperlink"/>
          </w:rPr>
          <w:t>EMR Keyword Search Strategies</w:t>
        </w:r>
      </w:hyperlink>
      <w:r w:rsidRPr="00B5547B">
        <w:t xml:space="preserve">. If in doubt as to whether a patient has an IDD, use </w:t>
      </w:r>
      <w:hyperlink r:id="rId2" w:history="1">
        <w:r w:rsidRPr="00B5547B">
          <w:rPr>
            <w:rStyle w:val="Hyperlink"/>
          </w:rPr>
          <w:t>a case-finding (“screening”) to</w:t>
        </w:r>
      </w:hyperlink>
      <w:r w:rsidRPr="00B5547B">
        <w:t>ol to take initial steps to recognition.</w:t>
      </w:r>
    </w:p>
    <w:p w14:paraId="618B6165" w14:textId="77777777" w:rsidR="00080F4A" w:rsidRPr="00B5547B" w:rsidRDefault="00080F4A" w:rsidP="00A14424">
      <w:pPr>
        <w:pStyle w:val="Endnote-H5"/>
      </w:pPr>
      <w:r w:rsidRPr="00B5547B">
        <w:t>Development of this template</w:t>
      </w:r>
    </w:p>
    <w:p w14:paraId="3B244DE9" w14:textId="77777777" w:rsidR="00080F4A" w:rsidRDefault="00080F4A" w:rsidP="00A14424">
      <w:pPr>
        <w:pStyle w:val="Endnote-Link"/>
      </w:pPr>
      <w:r w:rsidRPr="00B5547B">
        <w:t>This medical record template assists primary care providers to implement the comprehensive health assessment or “Health Check” for adults with intellectual and developmental disabilities (IDD</w:t>
      </w:r>
      <w:r>
        <w:t xml:space="preserve">) recommended by the guidelines, “Primary Care of Adults with Intellectual and Developmental Disabilities: 2018 Canadian Consensus Guidelines” (Canadian Family Physician 2018; 64(4):254-279). </w:t>
      </w:r>
    </w:p>
    <w:p w14:paraId="68A870BC" w14:textId="3F8FB7A9" w:rsidR="00080F4A" w:rsidRDefault="00080F4A" w:rsidP="00A14424">
      <w:pPr>
        <w:pStyle w:val="Endnote-Link"/>
      </w:pPr>
      <w:r>
        <w:t>The notes to</w:t>
      </w:r>
      <w:r w:rsidR="003B66C1">
        <w:t xml:space="preserve"> the items in</w:t>
      </w:r>
      <w:r>
        <w:t xml:space="preserve"> the template (superscripted numbers) select from and supplement the </w:t>
      </w:r>
      <w:r w:rsidR="003B66C1">
        <w:t>Guidelines</w:t>
      </w:r>
      <w:r>
        <w:t xml:space="preserve">, based on the experience of family doctors and nurses experienced in the care of adults with IDD. The notes contain links to </w:t>
      </w:r>
      <w:r w:rsidR="005D7614">
        <w:t>practice tools</w:t>
      </w:r>
      <w:r>
        <w:t xml:space="preserve"> developed by the Surrey Place Developmental Disabilities Primary Care Program, as well as other curated tools and resources. For more information on </w:t>
      </w:r>
      <w:r w:rsidR="003B66C1">
        <w:t>Guidelines and Tools</w:t>
      </w:r>
      <w:r>
        <w:t xml:space="preserve"> for the primary care of adults with intellectual and developmental disabilities visit the website </w:t>
      </w:r>
      <w:r w:rsidR="003B66C1">
        <w:t>www.</w:t>
      </w:r>
      <w:r>
        <w:t xml:space="preserve">ddprimarycare.surreyplace.ca   </w:t>
      </w:r>
      <w:r w:rsidR="003B66C1">
        <w:t xml:space="preserve">  </w:t>
      </w:r>
    </w:p>
  </w:endnote>
  <w:endnote w:id="3">
    <w:p w14:paraId="6407422A" w14:textId="754D3A87" w:rsidR="00766591" w:rsidRDefault="00766591" w:rsidP="00837BF6">
      <w:pPr>
        <w:pStyle w:val="Endnote-H4"/>
      </w:pPr>
      <w:r>
        <w:rPr>
          <w:rStyle w:val="EndnoteReference"/>
        </w:rPr>
        <w:endnoteRef/>
      </w:r>
      <w:r>
        <w:t xml:space="preserve"> </w:t>
      </w:r>
      <w:bookmarkStart w:id="1" w:name="Patient"/>
      <w:r w:rsidRPr="00E465A5">
        <w:t>Patient and caregiver input into Health Checks</w:t>
      </w:r>
      <w:r>
        <w:t xml:space="preserve"> </w:t>
      </w:r>
      <w:bookmarkEnd w:id="1"/>
    </w:p>
    <w:p w14:paraId="5B4CE077" w14:textId="2A567DD1" w:rsidR="00BD4BC3" w:rsidRPr="00D93E1C" w:rsidRDefault="00BD4BC3" w:rsidP="00BD4BC3">
      <w:pPr>
        <w:pStyle w:val="Endnote-Bullet-L1"/>
      </w:pPr>
      <w:bookmarkStart w:id="2" w:name="_Hlk126596785"/>
      <w:r w:rsidRPr="00D93E1C">
        <w:t>Use patient questionnaires: “</w:t>
      </w:r>
      <w:hyperlink r:id="rId3" w:history="1">
        <w:r w:rsidRPr="00D93E1C">
          <w:rPr>
            <w:rStyle w:val="Hyperlink"/>
          </w:rPr>
          <w:t>About M</w:t>
        </w:r>
        <w:r w:rsidRPr="00D93E1C">
          <w:rPr>
            <w:rStyle w:val="Hyperlink"/>
          </w:rPr>
          <w:t>y</w:t>
        </w:r>
        <w:r w:rsidRPr="00D93E1C">
          <w:rPr>
            <w:rStyle w:val="Hyperlink"/>
          </w:rPr>
          <w:t xml:space="preserve"> Health</w:t>
        </w:r>
      </w:hyperlink>
      <w:r w:rsidRPr="00D93E1C">
        <w:t>” and “</w:t>
      </w:r>
      <w:hyperlink r:id="rId4" w:history="1">
        <w:r w:rsidRPr="00D93E1C">
          <w:rPr>
            <w:rStyle w:val="Hyperlink"/>
          </w:rPr>
          <w:t>My Health Care Visit</w:t>
        </w:r>
      </w:hyperlink>
      <w:r w:rsidRPr="00D93E1C">
        <w:t>”</w:t>
      </w:r>
    </w:p>
    <w:bookmarkEnd w:id="2"/>
    <w:p w14:paraId="1F89F49F" w14:textId="033021F9" w:rsidR="00766591" w:rsidRDefault="00766591" w:rsidP="00A06F61">
      <w:pPr>
        <w:pStyle w:val="Endnote-Context"/>
      </w:pPr>
      <w:r>
        <w:t>Promoting patient participation</w:t>
      </w:r>
      <w:r w:rsidRPr="00110754">
        <w:t xml:space="preserve"> allow</w:t>
      </w:r>
      <w:r>
        <w:t>s</w:t>
      </w:r>
      <w:r w:rsidRPr="00110754">
        <w:t xml:space="preserve"> patients</w:t>
      </w:r>
      <w:r>
        <w:t>, families</w:t>
      </w:r>
      <w:r w:rsidR="00993D5B" w:rsidRPr="00993D5B">
        <w:t>,</w:t>
      </w:r>
      <w:r>
        <w:t xml:space="preserve"> and caregivers</w:t>
      </w:r>
      <w:r w:rsidRPr="00110754">
        <w:t xml:space="preserve"> a better opportunity to communicate</w:t>
      </w:r>
      <w:r>
        <w:t xml:space="preserve">. It </w:t>
      </w:r>
      <w:r w:rsidR="00993D5B" w:rsidRPr="00993D5B">
        <w:t>is</w:t>
      </w:r>
      <w:r>
        <w:t xml:space="preserve"> an efficient way to </w:t>
      </w:r>
      <w:r w:rsidRPr="00110754">
        <w:t>collect background information</w:t>
      </w:r>
      <w:r>
        <w:t xml:space="preserve"> for medical encounters</w:t>
      </w:r>
      <w:r w:rsidRPr="00110754">
        <w:t>.</w:t>
      </w:r>
    </w:p>
    <w:p w14:paraId="0B7D98F9" w14:textId="3B9981F9" w:rsidR="00766591" w:rsidRPr="00A14424" w:rsidRDefault="004A2825" w:rsidP="00A14424">
      <w:pPr>
        <w:pStyle w:val="Endnote-H5"/>
      </w:pPr>
      <w:r>
        <w:t>PRACTICE TOOLS</w:t>
      </w:r>
    </w:p>
    <w:bookmarkStart w:id="3" w:name="_Hlk126596842"/>
    <w:p w14:paraId="2B4C0322" w14:textId="77777777" w:rsidR="000C3360" w:rsidRPr="00D93E1C" w:rsidRDefault="001A51DF" w:rsidP="000C3360">
      <w:pPr>
        <w:pStyle w:val="Endnote-Link"/>
      </w:pPr>
      <w:r>
        <w:fldChar w:fldCharType="begin"/>
      </w:r>
      <w:r>
        <w:instrText>HYPERLINK "https://ddprimarycare.surreyplace.ca/tools-2/general-health/about-my-health/"</w:instrText>
      </w:r>
      <w:r>
        <w:fldChar w:fldCharType="separate"/>
      </w:r>
      <w:r w:rsidR="00766591" w:rsidRPr="00D93E1C">
        <w:rPr>
          <w:rStyle w:val="Hyperlink"/>
          <w:lang w:val="en-US"/>
        </w:rPr>
        <w:t xml:space="preserve">About My </w:t>
      </w:r>
      <w:r w:rsidR="00766591" w:rsidRPr="00D93E1C">
        <w:rPr>
          <w:rStyle w:val="Hyperlink"/>
          <w:lang w:val="en-US"/>
        </w:rPr>
        <w:t>H</w:t>
      </w:r>
      <w:r w:rsidR="00766591" w:rsidRPr="00D93E1C">
        <w:rPr>
          <w:rStyle w:val="Hyperlink"/>
          <w:lang w:val="en-US"/>
        </w:rPr>
        <w:t>ealth</w:t>
      </w:r>
      <w:r>
        <w:rPr>
          <w:rStyle w:val="Hyperlink"/>
          <w:lang w:val="en-US"/>
        </w:rPr>
        <w:fldChar w:fldCharType="end"/>
      </w:r>
      <w:r w:rsidR="000C3360" w:rsidRPr="00D93E1C">
        <w:t xml:space="preserve"> is a form for patients to indicate their likes and dislikes, preferred communication strategies, contacts, medical history, and medications. This is especially useful in preparation for meeting a new healthcare provider and in providing information for the IDD-specific CPP (Step 2) of the Health Check. </w:t>
      </w:r>
    </w:p>
    <w:p w14:paraId="6AD7EEDE" w14:textId="23E73EBC" w:rsidR="00766591" w:rsidRDefault="004D4F03" w:rsidP="00A14424">
      <w:pPr>
        <w:pStyle w:val="Endnote-Link"/>
      </w:pPr>
      <w:hyperlink r:id="rId5" w:history="1">
        <w:r w:rsidR="00766591" w:rsidRPr="00D93E1C">
          <w:rPr>
            <w:rStyle w:val="Hyperlink"/>
            <w:lang w:val="en-US"/>
          </w:rPr>
          <w:t>My Health C</w:t>
        </w:r>
        <w:r w:rsidR="00766591" w:rsidRPr="00D93E1C">
          <w:rPr>
            <w:rStyle w:val="Hyperlink"/>
            <w:lang w:val="en-US"/>
          </w:rPr>
          <w:t>a</w:t>
        </w:r>
        <w:r w:rsidR="00766591" w:rsidRPr="00D93E1C">
          <w:rPr>
            <w:rStyle w:val="Hyperlink"/>
            <w:lang w:val="en-US"/>
          </w:rPr>
          <w:t>re Visit</w:t>
        </w:r>
      </w:hyperlink>
      <w:r w:rsidR="000C3360" w:rsidRPr="00D93E1C">
        <w:t xml:space="preserve"> is useful before any healthcare visit, including those in the Health Check. Patients fill out the </w:t>
      </w:r>
      <w:r w:rsidR="00766591">
        <w:t xml:space="preserve">first part of </w:t>
      </w:r>
      <w:r w:rsidR="000C3360" w:rsidRPr="00D93E1C">
        <w:t xml:space="preserve">the form </w:t>
      </w:r>
      <w:r w:rsidR="00766591">
        <w:t xml:space="preserve">in advance </w:t>
      </w:r>
      <w:r w:rsidR="000C3360" w:rsidRPr="00D93E1C">
        <w:t xml:space="preserve">of a visit </w:t>
      </w:r>
      <w:r w:rsidR="00766591">
        <w:t xml:space="preserve">and </w:t>
      </w:r>
      <w:r w:rsidR="000C3360" w:rsidRPr="00D93E1C">
        <w:t>indicate their reasons</w:t>
      </w:r>
      <w:r w:rsidR="00766591">
        <w:t xml:space="preserve"> for </w:t>
      </w:r>
      <w:r w:rsidR="000C3360" w:rsidRPr="00D93E1C">
        <w:t xml:space="preserve">the </w:t>
      </w:r>
      <w:r w:rsidR="00766591">
        <w:t xml:space="preserve">visit and recent symptoms. </w:t>
      </w:r>
      <w:r w:rsidR="000C3360" w:rsidRPr="00D93E1C">
        <w:t>The provider and patient fill out the second and third parts</w:t>
      </w:r>
      <w:r w:rsidR="00766591" w:rsidRPr="00225455">
        <w:t xml:space="preserve"> </w:t>
      </w:r>
      <w:r w:rsidR="00766591">
        <w:t xml:space="preserve">at the visit </w:t>
      </w:r>
      <w:r w:rsidR="00766591" w:rsidRPr="00225455">
        <w:t xml:space="preserve">with </w:t>
      </w:r>
      <w:r w:rsidR="00766591">
        <w:t xml:space="preserve">the </w:t>
      </w:r>
      <w:r w:rsidR="00766591" w:rsidRPr="00225455">
        <w:t xml:space="preserve">health care provider to </w:t>
      </w:r>
      <w:r w:rsidR="000C3360" w:rsidRPr="00D93E1C">
        <w:t>create</w:t>
      </w:r>
      <w:r w:rsidR="00766591" w:rsidRPr="00225455">
        <w:t xml:space="preserve"> understanding of the </w:t>
      </w:r>
      <w:r w:rsidR="000C3360" w:rsidRPr="00D93E1C">
        <w:t>content</w:t>
      </w:r>
      <w:r w:rsidR="00766591" w:rsidRPr="00225455">
        <w:t xml:space="preserve"> and outcome of </w:t>
      </w:r>
      <w:r w:rsidR="00766591">
        <w:t xml:space="preserve">the </w:t>
      </w:r>
      <w:r w:rsidR="00766591" w:rsidRPr="00225455">
        <w:t>visit.</w:t>
      </w:r>
      <w:bookmarkEnd w:id="3"/>
    </w:p>
  </w:endnote>
  <w:endnote w:id="4">
    <w:p w14:paraId="469F3FDD" w14:textId="74F84688" w:rsidR="005D10B3" w:rsidRDefault="005D10B3" w:rsidP="00837BF6">
      <w:pPr>
        <w:pStyle w:val="Endnote-H4"/>
      </w:pPr>
      <w:r>
        <w:rPr>
          <w:rStyle w:val="EndnoteReference"/>
        </w:rPr>
        <w:endnoteRef/>
      </w:r>
      <w:r>
        <w:t xml:space="preserve"> </w:t>
      </w:r>
      <w:r w:rsidRPr="002D6410">
        <w:t>Communication, daily living -</w:t>
      </w:r>
      <w:r>
        <w:t xml:space="preserve"> </w:t>
      </w:r>
      <w:r w:rsidRPr="00C35E5B">
        <w:t>Functional assessment</w:t>
      </w:r>
    </w:p>
    <w:p w14:paraId="3A0E9512" w14:textId="12E408E5" w:rsidR="003D16B1" w:rsidRPr="00D93E1C" w:rsidRDefault="003D16B1" w:rsidP="003D16B1">
      <w:pPr>
        <w:pStyle w:val="Endnote-Bullet-L1"/>
      </w:pPr>
      <w:bookmarkStart w:id="4" w:name="_Hlk126597024"/>
      <w:bookmarkStart w:id="5" w:name="_Hlk91480362"/>
      <w:r w:rsidRPr="00D93E1C">
        <w:t>Previous functional assessment or a school psychoeducational report</w:t>
      </w:r>
      <w:r w:rsidRPr="00D93E1C">
        <w:rPr>
          <w:vertAlign w:val="superscript"/>
        </w:rPr>
        <w:t xml:space="preserve"> </w:t>
      </w:r>
      <w:r w:rsidRPr="00D93E1C">
        <w:t>by a psychologist or occupational therapist. Identify in the notes where a copy of the report is located</w:t>
      </w:r>
      <w:r w:rsidR="00B05686">
        <w:t>.</w:t>
      </w:r>
      <w:r w:rsidRPr="00D93E1C">
        <w:t xml:space="preserve"> </w:t>
      </w:r>
    </w:p>
    <w:p w14:paraId="5C79B4A5" w14:textId="5135EB78" w:rsidR="003D16B1" w:rsidRPr="00D93E1C" w:rsidRDefault="003D16B1" w:rsidP="003D16B1">
      <w:pPr>
        <w:pStyle w:val="Endnote-Bullet-L1"/>
      </w:pPr>
      <w:r w:rsidRPr="00D93E1C">
        <w:t xml:space="preserve">Adaptive </w:t>
      </w:r>
      <w:proofErr w:type="spellStart"/>
      <w:r w:rsidRPr="00D93E1C">
        <w:t>behaviours</w:t>
      </w:r>
      <w:proofErr w:type="spellEnd"/>
      <w:r w:rsidRPr="00D93E1C">
        <w:t>: social skills, communication skills (</w:t>
      </w:r>
      <w:proofErr w:type="spellStart"/>
      <w:r w:rsidRPr="00D93E1C">
        <w:t>eg</w:t>
      </w:r>
      <w:proofErr w:type="spellEnd"/>
      <w:r w:rsidRPr="00D93E1C">
        <w:t>, expressive and receptive), job skills, problem solving, managing money</w:t>
      </w:r>
      <w:r w:rsidR="00B05686">
        <w:t>.</w:t>
      </w:r>
      <w:r w:rsidRPr="00D93E1C">
        <w:t xml:space="preserve"> </w:t>
      </w:r>
      <w:r w:rsidRPr="00D93E1C">
        <w:tab/>
      </w:r>
    </w:p>
    <w:p w14:paraId="4414075E" w14:textId="1C972FDD" w:rsidR="003D16B1" w:rsidRPr="00D93E1C" w:rsidRDefault="003D16B1" w:rsidP="003D16B1">
      <w:pPr>
        <w:pStyle w:val="Endnote-Bullet-L1"/>
      </w:pPr>
      <w:r w:rsidRPr="00D93E1C">
        <w:t>Intellectual ability</w:t>
      </w:r>
      <w:r w:rsidRPr="00D93E1C">
        <w:rPr>
          <w:vertAlign w:val="superscript"/>
        </w:rPr>
        <w:t xml:space="preserve"> </w:t>
      </w:r>
      <w:r w:rsidRPr="00D93E1C">
        <w:t>(IQ by number or percentile; severity by mild, moderate, severe, or profound)</w:t>
      </w:r>
      <w:r w:rsidR="00B05686">
        <w:t>.</w:t>
      </w:r>
      <w:r w:rsidRPr="00D93E1C">
        <w:t xml:space="preserve"> </w:t>
      </w:r>
    </w:p>
    <w:p w14:paraId="4F6B6A6D" w14:textId="6F13FFE2" w:rsidR="003D16B1" w:rsidRPr="00D93E1C" w:rsidRDefault="003D16B1" w:rsidP="003D16B1">
      <w:pPr>
        <w:pStyle w:val="Endnote-Bullet-L1"/>
      </w:pPr>
      <w:r w:rsidRPr="00D93E1C">
        <w:t>Estimated school grade or mental age equivalence, recognizing that adults have life experiences that limit the usefulness of comparison with children</w:t>
      </w:r>
      <w:r w:rsidR="00B05686">
        <w:t>.</w:t>
      </w:r>
      <w:r w:rsidRPr="00D93E1C">
        <w:t xml:space="preserve"> </w:t>
      </w:r>
    </w:p>
    <w:p w14:paraId="66DECA29" w14:textId="7E0BD963" w:rsidR="003D16B1" w:rsidRPr="00D93E1C" w:rsidRDefault="003D16B1" w:rsidP="003D16B1">
      <w:pPr>
        <w:pStyle w:val="Endnote-Bullet-L1"/>
      </w:pPr>
      <w:r w:rsidRPr="00D93E1C">
        <w:t>Abilities in independent living (ADLs: bathing and grooming, dressing and undressing, meal preparation and eating, transfers, restroom use and continence, ambulation. IADLs: using the telephone, shopping, preparing meals, housekeeping, using transportation, taking medication(s), and managing finances)</w:t>
      </w:r>
      <w:r w:rsidR="00B05686">
        <w:t>.</w:t>
      </w:r>
    </w:p>
    <w:bookmarkEnd w:id="4"/>
    <w:p w14:paraId="0BFE7CAF" w14:textId="2865DD67" w:rsidR="005D10B3" w:rsidRDefault="005D10B3" w:rsidP="00941025">
      <w:pPr>
        <w:pStyle w:val="Endnote-Bullet-L1"/>
      </w:pPr>
      <w:r w:rsidRPr="00F10D71">
        <w:t>Other activities needing support or supervision</w:t>
      </w:r>
      <w:r w:rsidR="00B05686">
        <w:t>.</w:t>
      </w:r>
      <w:r w:rsidRPr="00F10D71">
        <w:t xml:space="preserve"> </w:t>
      </w:r>
    </w:p>
    <w:bookmarkEnd w:id="5"/>
    <w:p w14:paraId="5A5D8F56" w14:textId="5C39207D" w:rsidR="005D10B3" w:rsidRDefault="005D10B3" w:rsidP="00A05F23">
      <w:pPr>
        <w:pStyle w:val="Endnote-Context"/>
      </w:pPr>
      <w:r w:rsidRPr="002373DF">
        <w:t>Awareness of the patient’s abilities related to communicating, thinking and activities of daily living reminds you to accommodate their needs (</w:t>
      </w:r>
      <w:proofErr w:type="spellStart"/>
      <w:r w:rsidRPr="002373DF">
        <w:t>eg</w:t>
      </w:r>
      <w:proofErr w:type="spellEnd"/>
      <w:r w:rsidRPr="002373DF">
        <w:t>, adapt communication, office space, pace) and arrange supports.</w:t>
      </w:r>
      <w:r>
        <w:t xml:space="preserve"> </w:t>
      </w:r>
    </w:p>
    <w:p w14:paraId="7FA1E337" w14:textId="73694C58" w:rsidR="005D10B3" w:rsidRPr="00E465A5" w:rsidRDefault="004A2825" w:rsidP="00A14424">
      <w:pPr>
        <w:pStyle w:val="Endnote-H5"/>
      </w:pPr>
      <w:r>
        <w:t>PRACTICE TOOLS</w:t>
      </w:r>
    </w:p>
    <w:p w14:paraId="757D7A83" w14:textId="77777777" w:rsidR="005D10B3" w:rsidRPr="00D93E1C" w:rsidRDefault="004D4F03" w:rsidP="00A14424">
      <w:pPr>
        <w:pStyle w:val="Endnote-Link"/>
        <w:rPr>
          <w:lang w:val="en-US"/>
        </w:rPr>
      </w:pPr>
      <w:hyperlink r:id="rId6" w:history="1">
        <w:r w:rsidR="005D10B3" w:rsidRPr="00D93E1C">
          <w:rPr>
            <w:rStyle w:val="Hyperlink"/>
            <w:lang w:val="en-US"/>
          </w:rPr>
          <w:t xml:space="preserve">Communicate CARE: Guidance for Person-centered Care </w:t>
        </w:r>
      </w:hyperlink>
    </w:p>
    <w:p w14:paraId="69D1DA2A" w14:textId="77777777" w:rsidR="005D10B3" w:rsidRPr="00D93E1C" w:rsidRDefault="004D4F03" w:rsidP="00A14424">
      <w:pPr>
        <w:pStyle w:val="Endnote-Link"/>
        <w:rPr>
          <w:lang w:val="en-US"/>
        </w:rPr>
      </w:pPr>
      <w:hyperlink r:id="rId7" w:history="1">
        <w:r w:rsidR="005D10B3" w:rsidRPr="00D93E1C">
          <w:rPr>
            <w:rStyle w:val="Hyperlink"/>
            <w:lang w:val="en-US"/>
          </w:rPr>
          <w:t>Adaptive Functioning and Communication</w:t>
        </w:r>
      </w:hyperlink>
    </w:p>
    <w:p w14:paraId="32AB70B9" w14:textId="77777777" w:rsidR="005D10B3" w:rsidRPr="00D93E1C" w:rsidRDefault="004D4F03" w:rsidP="00A14424">
      <w:pPr>
        <w:pStyle w:val="Endnote-Link"/>
        <w:rPr>
          <w:lang w:val="en-US"/>
        </w:rPr>
      </w:pPr>
      <w:hyperlink r:id="rId8" w:history="1">
        <w:r w:rsidR="005D10B3" w:rsidRPr="00D93E1C">
          <w:rPr>
            <w:rStyle w:val="Hyperlink"/>
            <w:lang w:val="en-US"/>
          </w:rPr>
          <w:t>Psychological Assessment in Intellectual and Developmental Disabilities</w:t>
        </w:r>
      </w:hyperlink>
    </w:p>
    <w:p w14:paraId="55B30DDA" w14:textId="73B863B6" w:rsidR="005D10B3" w:rsidRPr="00822B5B" w:rsidRDefault="004D4F03" w:rsidP="00A14424">
      <w:pPr>
        <w:pStyle w:val="Endnote-Link"/>
        <w:rPr>
          <w:u w:val="single"/>
        </w:rPr>
      </w:pPr>
      <w:hyperlink r:id="rId9" w:history="1">
        <w:r w:rsidR="005D10B3" w:rsidRPr="00D93E1C">
          <w:rPr>
            <w:rStyle w:val="Hyperlink"/>
            <w:lang w:val="en-US"/>
          </w:rPr>
          <w:t>Decision Making: Promoting Capabilities</w:t>
        </w:r>
      </w:hyperlink>
    </w:p>
  </w:endnote>
  <w:endnote w:id="5">
    <w:p w14:paraId="26F86934" w14:textId="70E0F9A5" w:rsidR="005D10B3" w:rsidRDefault="005D10B3" w:rsidP="00837BF6">
      <w:pPr>
        <w:pStyle w:val="Endnote-H4"/>
      </w:pPr>
      <w:r>
        <w:rPr>
          <w:rStyle w:val="EndnoteReference"/>
        </w:rPr>
        <w:endnoteRef/>
      </w:r>
      <w:r>
        <w:t xml:space="preserve"> </w:t>
      </w:r>
      <w:r w:rsidRPr="00C35E5B">
        <w:t>Cause or associated condition</w:t>
      </w:r>
      <w:r>
        <w:t xml:space="preserve"> </w:t>
      </w:r>
    </w:p>
    <w:p w14:paraId="7A34F6F2" w14:textId="166EC113" w:rsidR="005D10B3" w:rsidRDefault="005D10B3" w:rsidP="00B120DE">
      <w:pPr>
        <w:pStyle w:val="Endnote-Bullet-L1"/>
      </w:pPr>
      <w:r>
        <w:t>Genetic syndrome</w:t>
      </w:r>
    </w:p>
    <w:p w14:paraId="5CF295D4" w14:textId="31F1C148" w:rsidR="005D10B3" w:rsidRDefault="005D10B3" w:rsidP="00B120DE">
      <w:pPr>
        <w:pStyle w:val="Endnote-Bullet-L1"/>
      </w:pPr>
      <w:r>
        <w:t>Autism (and level of severity)</w:t>
      </w:r>
    </w:p>
    <w:p w14:paraId="616ABFDA" w14:textId="2290B6A8" w:rsidR="005D10B3" w:rsidRDefault="005D10B3" w:rsidP="00B120DE">
      <w:pPr>
        <w:pStyle w:val="Endnote-Bullet-L1"/>
      </w:pPr>
      <w:r>
        <w:t>Cerebral palsy</w:t>
      </w:r>
    </w:p>
    <w:p w14:paraId="574F063B" w14:textId="24BC1A28" w:rsidR="005D10B3" w:rsidRDefault="005D10B3" w:rsidP="00B120DE">
      <w:pPr>
        <w:pStyle w:val="Endnote-Bullet-L1"/>
      </w:pPr>
      <w:r>
        <w:t>FASD</w:t>
      </w:r>
      <w:r>
        <w:tab/>
      </w:r>
    </w:p>
    <w:p w14:paraId="0DAEDED4" w14:textId="5F44432D" w:rsidR="005D10B3" w:rsidRDefault="005D10B3" w:rsidP="00B120DE">
      <w:pPr>
        <w:pStyle w:val="Endnote-Bullet-L1"/>
      </w:pPr>
      <w:r>
        <w:t>Brain infection</w:t>
      </w:r>
      <w:r>
        <w:tab/>
      </w:r>
    </w:p>
    <w:p w14:paraId="08A712E2" w14:textId="58D1FC99" w:rsidR="005D10B3" w:rsidRDefault="005D10B3" w:rsidP="00B120DE">
      <w:pPr>
        <w:pStyle w:val="Endnote-Bullet-L1"/>
      </w:pPr>
      <w:r>
        <w:t>Brain trauma</w:t>
      </w:r>
    </w:p>
    <w:p w14:paraId="0C8C0D7F" w14:textId="0AD45EF7" w:rsidR="005D10B3" w:rsidRDefault="005D10B3" w:rsidP="00B120DE">
      <w:pPr>
        <w:pStyle w:val="Endnote-Bullet-L1"/>
      </w:pPr>
      <w:r>
        <w:t>No known cause or associated condition</w:t>
      </w:r>
    </w:p>
    <w:p w14:paraId="73EE66BF" w14:textId="104BD3FE" w:rsidR="005D10B3" w:rsidRDefault="008B11C2" w:rsidP="00B120DE">
      <w:pPr>
        <w:pStyle w:val="Endnote-Bullet-L1"/>
      </w:pPr>
      <w:r w:rsidRPr="00D93E1C">
        <w:t>Date of previous</w:t>
      </w:r>
      <w:r w:rsidR="005D10B3">
        <w:t xml:space="preserve"> genetic assessment</w:t>
      </w:r>
    </w:p>
    <w:p w14:paraId="1BE8B4A3" w14:textId="48107BD5" w:rsidR="005D10B3" w:rsidRDefault="005D10B3" w:rsidP="00B120DE">
      <w:pPr>
        <w:pStyle w:val="Endnote-Bullet-L1"/>
      </w:pPr>
      <w:r>
        <w:t>Neuroimaging</w:t>
      </w:r>
    </w:p>
    <w:p w14:paraId="49667F72" w14:textId="3B6B7BF0" w:rsidR="005D10B3" w:rsidRDefault="005D10B3" w:rsidP="00B120DE">
      <w:pPr>
        <w:pStyle w:val="Endnote-Bullet-L1"/>
      </w:pPr>
      <w:r>
        <w:t>EEG assessment</w:t>
      </w:r>
    </w:p>
    <w:p w14:paraId="73DC0A54" w14:textId="77777777" w:rsidR="00D9287E" w:rsidRPr="003502F4" w:rsidRDefault="00D9287E" w:rsidP="00D9287E">
      <w:pPr>
        <w:pStyle w:val="Endnote-Context"/>
        <w:rPr>
          <w:strike/>
        </w:rPr>
      </w:pPr>
      <w:r w:rsidRPr="00D93E1C">
        <w:t>A repeat genetic assessment for those without known genetic cause for their IDD (</w:t>
      </w:r>
      <w:proofErr w:type="spellStart"/>
      <w:r w:rsidRPr="00D93E1C">
        <w:t>eg</w:t>
      </w:r>
      <w:proofErr w:type="spellEnd"/>
      <w:r w:rsidRPr="00D93E1C">
        <w:t>, every 5 years), may be appropriate, given the developments in genetics. If no genetic assessment has been done, check the tool “Genetic Assessment: FAQ”.</w:t>
      </w:r>
    </w:p>
    <w:p w14:paraId="5B85278F" w14:textId="77777777" w:rsidR="00D9287E" w:rsidRPr="00D93E1C" w:rsidRDefault="00D9287E" w:rsidP="00D9287E">
      <w:pPr>
        <w:pStyle w:val="Endnote-Context"/>
      </w:pPr>
      <w:r w:rsidRPr="00D93E1C">
        <w:t>Specific information regarding different syndromes is available in “Health Watch Tables”, published for Down Syndrome, Fragile X Syndrome, Prader-Willi Syndrome, Smith-</w:t>
      </w:r>
      <w:proofErr w:type="spellStart"/>
      <w:r w:rsidRPr="00D93E1C">
        <w:t>Magenis</w:t>
      </w:r>
      <w:proofErr w:type="spellEnd"/>
      <w:r w:rsidRPr="00D93E1C">
        <w:t xml:space="preserve"> Syndrome, 22q11.2del Syndrome, Fetal alcohol spectrum disorder, Williams Syndrome, Autism spectrum disorder, Angelman Syndrome. </w:t>
      </w:r>
    </w:p>
    <w:p w14:paraId="5CE8B93D" w14:textId="257C1E6F" w:rsidR="005D10B3" w:rsidRPr="00E465A5" w:rsidRDefault="004A2825" w:rsidP="00A14424">
      <w:pPr>
        <w:pStyle w:val="Endnote-H5"/>
      </w:pPr>
      <w:r>
        <w:t>PRACTICE TOOLS</w:t>
      </w:r>
    </w:p>
    <w:p w14:paraId="67174FD8" w14:textId="77777777" w:rsidR="005D10B3" w:rsidRDefault="004D4F03" w:rsidP="00A14424">
      <w:pPr>
        <w:pStyle w:val="Endnote-Link"/>
      </w:pPr>
      <w:hyperlink r:id="rId10" w:history="1">
        <w:r w:rsidR="005D10B3" w:rsidRPr="00213DAF">
          <w:rPr>
            <w:rStyle w:val="Hyperlink"/>
          </w:rPr>
          <w:t>Health Watch Tables</w:t>
        </w:r>
      </w:hyperlink>
      <w:r w:rsidR="005D10B3">
        <w:t xml:space="preserve"> </w:t>
      </w:r>
    </w:p>
    <w:p w14:paraId="783DD8A9" w14:textId="1F96BAD5" w:rsidR="005D10B3" w:rsidRDefault="004D4F03" w:rsidP="00A14424">
      <w:pPr>
        <w:pStyle w:val="Endnote-Link"/>
      </w:pPr>
      <w:hyperlink r:id="rId11" w:history="1">
        <w:r w:rsidR="005D10B3" w:rsidRPr="00213DAF">
          <w:rPr>
            <w:rStyle w:val="Hyperlink"/>
          </w:rPr>
          <w:t>Genetic Assessment: Frequently Asked Questions</w:t>
        </w:r>
      </w:hyperlink>
    </w:p>
  </w:endnote>
  <w:endnote w:id="6">
    <w:p w14:paraId="2FBBFECA" w14:textId="790C5519" w:rsidR="005D10B3" w:rsidRDefault="005D10B3" w:rsidP="00837BF6">
      <w:pPr>
        <w:pStyle w:val="Endnote-H4"/>
      </w:pPr>
      <w:r>
        <w:rPr>
          <w:rStyle w:val="EndnoteReference"/>
        </w:rPr>
        <w:endnoteRef/>
      </w:r>
      <w:r>
        <w:t xml:space="preserve"> </w:t>
      </w:r>
      <w:r w:rsidRPr="00E465A5">
        <w:t>Community and social supports</w:t>
      </w:r>
    </w:p>
    <w:p w14:paraId="474C3E74" w14:textId="76B656E9" w:rsidR="005D10B3" w:rsidRPr="008E3D31" w:rsidRDefault="005D10B3" w:rsidP="00837BF6">
      <w:pPr>
        <w:pStyle w:val="Endnote-Bullet-L1"/>
      </w:pPr>
      <w:r w:rsidRPr="008E3D31">
        <w:t>Contact to make appointments</w:t>
      </w:r>
      <w:r w:rsidR="00F57499">
        <w:t>.</w:t>
      </w:r>
    </w:p>
    <w:p w14:paraId="5304C966" w14:textId="66EB74E2" w:rsidR="005D10B3" w:rsidRPr="008E3D31" w:rsidRDefault="005D10B3" w:rsidP="00837BF6">
      <w:pPr>
        <w:pStyle w:val="Endnote-Bullet-L1"/>
      </w:pPr>
      <w:r w:rsidRPr="008E3D31">
        <w:t>Support person whom the patient would like to be told about appointments</w:t>
      </w:r>
      <w:r w:rsidR="00B05686">
        <w:t>.</w:t>
      </w:r>
    </w:p>
    <w:p w14:paraId="79AF1F0D" w14:textId="71EFF257" w:rsidR="0089007E" w:rsidRPr="00D93E1C" w:rsidRDefault="0089007E" w:rsidP="0089007E">
      <w:pPr>
        <w:pStyle w:val="Endnote-Bullet-L1"/>
      </w:pPr>
      <w:r w:rsidRPr="00D93E1C">
        <w:t>Support for health decision-making: Capacity is decision specific and should be assessed for each healthcare decision. Patient may be capable or need supports to be capable to make independent decisions; or, if incapable, requires a substitute decision maker</w:t>
      </w:r>
      <w:r w:rsidR="00B05686">
        <w:t>.</w:t>
      </w:r>
      <w:r w:rsidRPr="00D93E1C">
        <w:t xml:space="preserve"> </w:t>
      </w:r>
    </w:p>
    <w:p w14:paraId="4E471D20" w14:textId="1D30F78F" w:rsidR="0089007E" w:rsidRPr="00D93E1C" w:rsidRDefault="0089007E" w:rsidP="0089007E">
      <w:pPr>
        <w:pStyle w:val="Endnote-Bullet-L1"/>
      </w:pPr>
      <w:r w:rsidRPr="00D93E1C">
        <w:t>Developmental disabilities service agency or other social services connections</w:t>
      </w:r>
      <w:r w:rsidR="00B05686">
        <w:t>.</w:t>
      </w:r>
      <w:r w:rsidRPr="00D93E1C">
        <w:t xml:space="preserve"> </w:t>
      </w:r>
    </w:p>
    <w:p w14:paraId="19352194" w14:textId="7A95D77A" w:rsidR="0089007E" w:rsidRPr="00D93E1C" w:rsidRDefault="0089007E" w:rsidP="0089007E">
      <w:pPr>
        <w:pStyle w:val="Endnote-Bullet-L1"/>
      </w:pPr>
      <w:r w:rsidRPr="00D93E1C">
        <w:t>Income sources (</w:t>
      </w:r>
      <w:proofErr w:type="spellStart"/>
      <w:r w:rsidRPr="00D93E1C">
        <w:t>eg</w:t>
      </w:r>
      <w:proofErr w:type="spellEnd"/>
      <w:r w:rsidRPr="00D93E1C">
        <w:t>, municipal/provincial welfare or disability support; federal Disability Tax Credit and the Registered Disability Support Program)</w:t>
      </w:r>
      <w:r w:rsidR="00B05686">
        <w:t>.</w:t>
      </w:r>
    </w:p>
    <w:p w14:paraId="2655F326" w14:textId="61785BCE" w:rsidR="0089007E" w:rsidRPr="00D93E1C" w:rsidRDefault="0089007E" w:rsidP="0089007E">
      <w:pPr>
        <w:pStyle w:val="Endnote-Bullet-L1"/>
      </w:pPr>
      <w:r w:rsidRPr="00D93E1C">
        <w:t>Housing (</w:t>
      </w:r>
      <w:proofErr w:type="spellStart"/>
      <w:r w:rsidRPr="00D93E1C">
        <w:t>eg</w:t>
      </w:r>
      <w:proofErr w:type="spellEnd"/>
      <w:r w:rsidRPr="00D93E1C">
        <w:t>, living independently, with family, supported independent living, group home)</w:t>
      </w:r>
      <w:r w:rsidR="00B05686">
        <w:t>.</w:t>
      </w:r>
    </w:p>
    <w:p w14:paraId="4A5DBE1D" w14:textId="4C312EFE" w:rsidR="005D10B3" w:rsidRPr="008E3D31" w:rsidRDefault="005D10B3" w:rsidP="00837BF6">
      <w:pPr>
        <w:pStyle w:val="Endnote-Bullet-L1"/>
      </w:pPr>
      <w:r w:rsidRPr="008E3D31">
        <w:t>Job, day program, and respite services</w:t>
      </w:r>
      <w:r w:rsidR="00F57499">
        <w:t>.</w:t>
      </w:r>
    </w:p>
    <w:p w14:paraId="0953390D" w14:textId="15E493FA" w:rsidR="005D10B3" w:rsidRPr="008E3D31" w:rsidRDefault="005D10B3" w:rsidP="00837BF6">
      <w:pPr>
        <w:pStyle w:val="Endnote-Bullet-L1"/>
      </w:pPr>
      <w:r w:rsidRPr="008E3D31">
        <w:t>Drug coverage</w:t>
      </w:r>
      <w:r w:rsidR="00F57499">
        <w:t>.</w:t>
      </w:r>
    </w:p>
    <w:p w14:paraId="58C06B62" w14:textId="6166CAAC" w:rsidR="0089007E" w:rsidRPr="00D93E1C" w:rsidRDefault="0089007E" w:rsidP="0089007E">
      <w:pPr>
        <w:pStyle w:val="Endnote-Bullet-L1"/>
      </w:pPr>
      <w:r w:rsidRPr="00D93E1C">
        <w:t>Risks, vulnerabilities, and barriers to health promotion (</w:t>
      </w:r>
      <w:proofErr w:type="spellStart"/>
      <w:r w:rsidRPr="00D93E1C">
        <w:t>eg</w:t>
      </w:r>
      <w:proofErr w:type="spellEnd"/>
      <w:r w:rsidRPr="00D93E1C">
        <w:t>, unstable housing, polypharmacy, inability to access activities or to exercise independently)</w:t>
      </w:r>
      <w:r w:rsidR="00B05686">
        <w:t>.</w:t>
      </w:r>
    </w:p>
    <w:p w14:paraId="68E46943" w14:textId="5D2BDC7C" w:rsidR="0089007E" w:rsidRDefault="0089007E" w:rsidP="0089007E">
      <w:pPr>
        <w:pStyle w:val="Endnote-Bullet-L1"/>
      </w:pPr>
      <w:r w:rsidRPr="00D93E1C">
        <w:t>Other supports</w:t>
      </w:r>
      <w:r w:rsidR="00F57499">
        <w:t>.</w:t>
      </w:r>
      <w:r w:rsidR="00497EB0">
        <w:br/>
      </w:r>
    </w:p>
    <w:p w14:paraId="2DBD6D76" w14:textId="203BF893" w:rsidR="005D10B3" w:rsidRDefault="005D10B3" w:rsidP="00A05F23">
      <w:pPr>
        <w:pStyle w:val="Endnote-Context"/>
      </w:pPr>
      <w:r w:rsidRPr="00475CA7">
        <w:t>This information is relevant to accomplishing action plans resulting from any encounters, including Health Checks.</w:t>
      </w:r>
    </w:p>
  </w:endnote>
  <w:endnote w:id="7">
    <w:p w14:paraId="06350592" w14:textId="3928092F" w:rsidR="005D10B3" w:rsidRDefault="005D10B3" w:rsidP="00837BF6">
      <w:pPr>
        <w:pStyle w:val="Endnote-H4"/>
      </w:pPr>
      <w:r>
        <w:rPr>
          <w:rStyle w:val="EndnoteReference"/>
        </w:rPr>
        <w:endnoteRef/>
      </w:r>
      <w:r>
        <w:t xml:space="preserve"> </w:t>
      </w:r>
      <w:r w:rsidRPr="00837BF6">
        <w:t>Patient</w:t>
      </w:r>
      <w:r w:rsidRPr="0042035B">
        <w:t>-centered information to help make appointments go well</w:t>
      </w:r>
    </w:p>
    <w:p w14:paraId="06A6F3A6" w14:textId="3062C5CE" w:rsidR="004F14EA" w:rsidRPr="00D93E1C" w:rsidRDefault="004F14EA" w:rsidP="00337841">
      <w:pPr>
        <w:pStyle w:val="Endnote-Bullet-L1"/>
      </w:pPr>
      <w:r w:rsidRPr="00D93E1C">
        <w:t xml:space="preserve">Patient preferences for appointments: Office, phone, videoconference or home visit; preferred timing and duration; comfort items; environmental sensitivities; phone, email or text for arranging appointments </w:t>
      </w:r>
    </w:p>
    <w:p w14:paraId="4DDDCB58" w14:textId="2C5B5B9E" w:rsidR="004F14EA" w:rsidRPr="00D93E1C" w:rsidRDefault="004F14EA" w:rsidP="00337841">
      <w:pPr>
        <w:pStyle w:val="Endnote-Bullet-L1"/>
      </w:pPr>
      <w:r w:rsidRPr="00D93E1C">
        <w:t>Patient’s abilities, strengths, and interests</w:t>
      </w:r>
    </w:p>
    <w:p w14:paraId="50CED6F8" w14:textId="584B3A77" w:rsidR="005D10B3" w:rsidRDefault="005D10B3" w:rsidP="00837BF6">
      <w:pPr>
        <w:pStyle w:val="Endnote-Bullet-L1"/>
      </w:pPr>
      <w:r>
        <w:t>How the patient shows pain, fear, anxiety, sadness or anger and how to help in these situations</w:t>
      </w:r>
    </w:p>
    <w:p w14:paraId="2A19C66E" w14:textId="09778B93" w:rsidR="005D10B3" w:rsidRDefault="005D10B3" w:rsidP="00837BF6">
      <w:pPr>
        <w:pStyle w:val="Endnote-Bullet-L1"/>
      </w:pPr>
      <w:r>
        <w:t>Usual response to the medical exam and any safety concerns or triggers</w:t>
      </w:r>
    </w:p>
    <w:p w14:paraId="39DE37BD" w14:textId="4A3244E4" w:rsidR="005D10B3" w:rsidRDefault="005D10B3" w:rsidP="00837BF6">
      <w:pPr>
        <w:pStyle w:val="Endnote-Bullet-L1"/>
      </w:pPr>
      <w:r>
        <w:t>Communication skills, needs, aids (verbal, nonverbal, pictures, signs)</w:t>
      </w:r>
    </w:p>
    <w:p w14:paraId="1D0D15F8" w14:textId="0589CB67" w:rsidR="005D10B3" w:rsidRPr="00E65F47" w:rsidRDefault="005D10B3" w:rsidP="00E65F47">
      <w:pPr>
        <w:pStyle w:val="Endnote-Bullet-L1"/>
      </w:pPr>
      <w:r w:rsidRPr="00E65F47">
        <w:t>Mobility needs in office and ability to transfer to and from exam table</w:t>
      </w:r>
    </w:p>
    <w:p w14:paraId="1A108970" w14:textId="124CE977" w:rsidR="005D10B3" w:rsidRPr="00E65F47" w:rsidRDefault="005D10B3" w:rsidP="00E65F47">
      <w:pPr>
        <w:pStyle w:val="Endnote-Bullet-L1"/>
      </w:pPr>
      <w:r w:rsidRPr="00E65F47">
        <w:t>Other suggestions from the patient or caregiver</w:t>
      </w:r>
    </w:p>
    <w:p w14:paraId="077545F6" w14:textId="2BA532CE" w:rsidR="004F14EA" w:rsidRPr="00D93E1C" w:rsidRDefault="004F14EA" w:rsidP="00337841">
      <w:pPr>
        <w:pStyle w:val="Endnote-Bullet-L1"/>
      </w:pPr>
      <w:r w:rsidRPr="00D93E1C">
        <w:t>Health summary</w:t>
      </w:r>
    </w:p>
    <w:p w14:paraId="3909B1A7" w14:textId="510F2AE1" w:rsidR="004F14EA" w:rsidRPr="00D93E1C" w:rsidRDefault="004F14EA" w:rsidP="00337841">
      <w:pPr>
        <w:pStyle w:val="Endnote-Bullet-L1"/>
      </w:pPr>
      <w:r w:rsidRPr="00D93E1C">
        <w:t xml:space="preserve">Crisis plan or case management plan </w:t>
      </w:r>
    </w:p>
    <w:p w14:paraId="52349152" w14:textId="27EF6592" w:rsidR="00C764A1" w:rsidRPr="00D93E1C" w:rsidRDefault="00C764A1" w:rsidP="00C764A1">
      <w:pPr>
        <w:pStyle w:val="Endnote-Context"/>
      </w:pPr>
      <w:r>
        <w:t>I</w:t>
      </w:r>
      <w:r w:rsidRPr="00D93E1C">
        <w:t xml:space="preserve">dentify in the CPP if a crisis plan or case management plan has been made. </w:t>
      </w:r>
      <w:r w:rsidR="002F1A4A">
        <w:t>A c</w:t>
      </w:r>
      <w:r w:rsidRPr="00D93E1C">
        <w:t>risis plan</w:t>
      </w:r>
      <w:r w:rsidR="002F1A4A">
        <w:t xml:space="preserve"> is</w:t>
      </w:r>
      <w:r w:rsidRPr="00D93E1C">
        <w:t xml:space="preserve"> for acute problems (</w:t>
      </w:r>
      <w:proofErr w:type="spellStart"/>
      <w:r w:rsidRPr="00D93E1C">
        <w:t>eg</w:t>
      </w:r>
      <w:proofErr w:type="spellEnd"/>
      <w:r w:rsidRPr="00D93E1C">
        <w:t xml:space="preserve">, </w:t>
      </w:r>
      <w:proofErr w:type="spellStart"/>
      <w:r w:rsidRPr="00D93E1C">
        <w:t>behavioural</w:t>
      </w:r>
      <w:proofErr w:type="spellEnd"/>
      <w:r w:rsidRPr="00D93E1C">
        <w:t xml:space="preserve"> crises, status epilepticus, shunt blockage, recurrent volvulus, pseudo seizures, pseudo coma). If there is a crisis plan, identify where a copy of this document is located. With consent, ensure the availability of a crisis plan to local emergency department staff. A case management plan by a developmental or social services agency may be in place, including medical information.</w:t>
      </w:r>
    </w:p>
    <w:p w14:paraId="45B7E589" w14:textId="77777777" w:rsidR="00C764A1" w:rsidRPr="00D93E1C" w:rsidRDefault="00C764A1" w:rsidP="00C764A1">
      <w:pPr>
        <w:pStyle w:val="Endnote-Context"/>
      </w:pPr>
      <w:r w:rsidRPr="00D93E1C">
        <w:t>Offer patients or caregivers tools to help identify issues they face in going to the doctor. Patients and their health care workers benefit from sharing prepared health summaries and crisis plans. Crisis plans are for acute problems (</w:t>
      </w:r>
      <w:proofErr w:type="spellStart"/>
      <w:r w:rsidRPr="00D93E1C">
        <w:t>eg</w:t>
      </w:r>
      <w:proofErr w:type="spellEnd"/>
      <w:r w:rsidRPr="00D93E1C">
        <w:t xml:space="preserve">, </w:t>
      </w:r>
      <w:proofErr w:type="spellStart"/>
      <w:r w:rsidRPr="00D93E1C">
        <w:t>behavioural</w:t>
      </w:r>
      <w:proofErr w:type="spellEnd"/>
      <w:r w:rsidRPr="00D93E1C">
        <w:t xml:space="preserve"> crises, status epilepticus, shunt blockage, recurrent volvulus, pseudo seizures, pseudo coma). </w:t>
      </w:r>
    </w:p>
    <w:p w14:paraId="799AB73B" w14:textId="451E95B6" w:rsidR="005D10B3" w:rsidRDefault="004A2825" w:rsidP="00A14424">
      <w:pPr>
        <w:pStyle w:val="Endnote-H5"/>
      </w:pPr>
      <w:r>
        <w:t>PRACTICE TOOLS</w:t>
      </w:r>
      <w:r w:rsidR="005D10B3">
        <w:t xml:space="preserve"> </w:t>
      </w:r>
    </w:p>
    <w:p w14:paraId="535ABE0A" w14:textId="6ED7E9F2" w:rsidR="005D10B3" w:rsidRDefault="004D4F03" w:rsidP="00A14424">
      <w:pPr>
        <w:pStyle w:val="Endnote-Link"/>
      </w:pPr>
      <w:hyperlink r:id="rId12" w:history="1">
        <w:r w:rsidR="005D10B3" w:rsidRPr="00D93E1C">
          <w:rPr>
            <w:rStyle w:val="Hyperlink"/>
            <w:lang w:val="en-US"/>
          </w:rPr>
          <w:t>About My Health</w:t>
        </w:r>
      </w:hyperlink>
      <w:r w:rsidR="005D10B3">
        <w:t xml:space="preserve"> identifies </w:t>
      </w:r>
      <w:r w:rsidR="005D10B3" w:rsidRPr="00225455">
        <w:t>likes and dislikes, communication strategies</w:t>
      </w:r>
      <w:r w:rsidR="005D10B3">
        <w:t>, contacts, medical history, medications; especially useful in preparation for meeting a new healthcare provider</w:t>
      </w:r>
      <w:r w:rsidR="00C74969" w:rsidRPr="00D93E1C">
        <w:t xml:space="preserve"> and in providing</w:t>
      </w:r>
      <w:r w:rsidR="005D10B3" w:rsidRPr="00CB67FD">
        <w:t xml:space="preserve"> information </w:t>
      </w:r>
      <w:r w:rsidR="005D10B3">
        <w:t xml:space="preserve">for </w:t>
      </w:r>
      <w:r w:rsidR="00C74969" w:rsidRPr="00D93E1C">
        <w:t xml:space="preserve">the </w:t>
      </w:r>
      <w:r w:rsidR="005D10B3">
        <w:t>IDD</w:t>
      </w:r>
      <w:r w:rsidR="00C74969" w:rsidRPr="00D93E1C">
        <w:t xml:space="preserve">-specific CPP (Step 2) of the Health Check. </w:t>
      </w:r>
    </w:p>
  </w:endnote>
  <w:endnote w:id="8">
    <w:p w14:paraId="7EBD8EE4" w14:textId="77777777" w:rsidR="00E005B1" w:rsidRDefault="00E005B1" w:rsidP="009D2157">
      <w:pPr>
        <w:pStyle w:val="Endnote-H4"/>
        <w:rPr>
          <w:b w:val="0"/>
          <w:bCs w:val="0"/>
        </w:rPr>
      </w:pPr>
      <w:r w:rsidRPr="00C54449">
        <w:rPr>
          <w:rStyle w:val="EndnoteReference"/>
          <w:b w:val="0"/>
        </w:rPr>
        <w:endnoteRef/>
      </w:r>
      <w:r>
        <w:t xml:space="preserve"> </w:t>
      </w:r>
      <w:r w:rsidRPr="001C7F11">
        <w:rPr>
          <w:b w:val="0"/>
          <w:bCs w:val="0"/>
        </w:rPr>
        <w:t>Consultants and other health care team members</w:t>
      </w:r>
    </w:p>
    <w:p w14:paraId="639E137D" w14:textId="7B9AC1A1" w:rsidR="00E005B1" w:rsidRDefault="00E005B1" w:rsidP="001D362E">
      <w:pPr>
        <w:pStyle w:val="Endnote-Bullet-L1"/>
      </w:pPr>
      <w:r>
        <w:t>List those who are (or consider those who could be) involved in the patient’s care.</w:t>
      </w:r>
    </w:p>
    <w:p w14:paraId="425E8CF5" w14:textId="7B03318D" w:rsidR="00E005B1" w:rsidRDefault="00E005B1" w:rsidP="001D362E">
      <w:pPr>
        <w:pStyle w:val="Endnote-Bullet-L1"/>
      </w:pPr>
      <w:r>
        <w:t>Can you or your patient access a health care coordinator or case manager to help them navigate the health care system?</w:t>
      </w:r>
    </w:p>
    <w:p w14:paraId="22CC0683" w14:textId="77777777" w:rsidR="00967095" w:rsidRPr="00D93E1C" w:rsidRDefault="00967095" w:rsidP="00967095">
      <w:pPr>
        <w:pStyle w:val="Endnote-Context"/>
      </w:pPr>
      <w:r w:rsidRPr="00D93E1C">
        <w:t xml:space="preserve">There are a wide range of potential team members: a family doctor, nurse or nurse practitioner in your community with a special interest in IDD whom you may be able to consult. A genetic counsellor, dietitian, developmental pediatrician, psychiatrist, psychologist, pharmacist, physiatrist, physiotherapist, occupational therapist, audiologist and speech language pathologist, </w:t>
      </w:r>
      <w:proofErr w:type="spellStart"/>
      <w:r w:rsidRPr="00D93E1C">
        <w:t>behavioural</w:t>
      </w:r>
      <w:proofErr w:type="spellEnd"/>
      <w:r w:rsidRPr="00D93E1C">
        <w:t xml:space="preserve"> therapist, social worker, and other medical specialists may be helpful where available. </w:t>
      </w:r>
    </w:p>
    <w:p w14:paraId="08229FB1" w14:textId="77777777" w:rsidR="00E005B1" w:rsidRDefault="00967095" w:rsidP="00A05F23">
      <w:pPr>
        <w:pStyle w:val="Endnote-Context"/>
      </w:pPr>
      <w:r w:rsidRPr="00D93E1C">
        <w:t>Note</w:t>
      </w:r>
      <w:r w:rsidR="00E005B1">
        <w:t xml:space="preserve"> contact information, frequency of follow-up and next appointment date for those in the circle of care.</w:t>
      </w:r>
    </w:p>
    <w:p w14:paraId="0315AAC8" w14:textId="23644FA6" w:rsidR="00E005B1" w:rsidRDefault="00E005B1" w:rsidP="00A05F23">
      <w:pPr>
        <w:pStyle w:val="Endnote-Context"/>
      </w:pPr>
      <w:r w:rsidRPr="003C48C7">
        <w:t xml:space="preserve">Goals </w:t>
      </w:r>
      <w:r>
        <w:t xml:space="preserve">with respect to the health care system </w:t>
      </w:r>
      <w:r w:rsidRPr="003C48C7">
        <w:t>could include facilitating communication among the patient and the circle of care</w:t>
      </w:r>
      <w:r>
        <w:t>givers</w:t>
      </w:r>
      <w:r w:rsidRPr="003C48C7">
        <w:t>, facilitating attendance at appointments, transportation, medication adherence, etc.</w:t>
      </w:r>
      <w:r>
        <w:t xml:space="preserve"> Such service may be available through a local developmental service agency or organization or the provincial/territorial government health or social services. Information about local resources may be available through a local or provincial/territorial branch of Inclusion Canada or a local community mental health agency.</w:t>
      </w:r>
    </w:p>
  </w:endnote>
  <w:endnote w:id="9">
    <w:p w14:paraId="72E2D6C2" w14:textId="527BD129" w:rsidR="007B3962" w:rsidRDefault="007B3962" w:rsidP="00E65F47">
      <w:pPr>
        <w:pStyle w:val="Endnote-H4"/>
      </w:pPr>
      <w:r>
        <w:rPr>
          <w:rStyle w:val="EndnoteReference"/>
        </w:rPr>
        <w:endnoteRef/>
      </w:r>
      <w:r>
        <w:t xml:space="preserve"> </w:t>
      </w:r>
      <w:r w:rsidRPr="00C62E3B">
        <w:t>Review chronic disease management</w:t>
      </w:r>
      <w:r>
        <w:t>, medications</w:t>
      </w:r>
      <w:r w:rsidRPr="00C62E3B">
        <w:t xml:space="preserve"> and relevant past labs and imaging</w:t>
      </w:r>
      <w:r w:rsidR="002F1A4A">
        <w:t>.</w:t>
      </w:r>
    </w:p>
    <w:p w14:paraId="0355D4E1" w14:textId="745E83A7" w:rsidR="007B3962" w:rsidRPr="003F255C" w:rsidRDefault="007B3962" w:rsidP="00E65F47">
      <w:pPr>
        <w:pStyle w:val="Endnote-Bullet-L1"/>
      </w:pPr>
      <w:r w:rsidRPr="003F255C">
        <w:t xml:space="preserve">Review the management of this patient’s known chronic conditions as listed their Cumulative Patient Profile, both those associated with IDD and other chronic conditions. </w:t>
      </w:r>
    </w:p>
    <w:p w14:paraId="0ED46DB8" w14:textId="68ED99D2" w:rsidR="007B3962" w:rsidRDefault="007B3962" w:rsidP="00E65F47">
      <w:pPr>
        <w:pStyle w:val="Endnote-Bullet-L1"/>
        <w:rPr>
          <w:b/>
          <w:bCs/>
        </w:rPr>
      </w:pPr>
      <w:r w:rsidRPr="003F255C">
        <w:t>Ensure there is assistance to attend primary care follow-up or consultant’s appointments.</w:t>
      </w:r>
    </w:p>
    <w:p w14:paraId="001814CC" w14:textId="0EEFA452" w:rsidR="007B3962" w:rsidRDefault="007B3962" w:rsidP="00A05F23">
      <w:pPr>
        <w:pStyle w:val="Endnote-Context"/>
      </w:pPr>
      <w:r>
        <w:t>Consider the patient’s support needs to manage their chronic conditions (</w:t>
      </w:r>
      <w:proofErr w:type="spellStart"/>
      <w:r>
        <w:t>eg</w:t>
      </w:r>
      <w:proofErr w:type="spellEnd"/>
      <w:r>
        <w:t>, to adhere to their medication regimen or to attend appointments, especially for a patient with mild IDD who lives independently) or to self-monitor for signs of illness (</w:t>
      </w:r>
      <w:proofErr w:type="spellStart"/>
      <w:r>
        <w:t>eg</w:t>
      </w:r>
      <w:proofErr w:type="spellEnd"/>
      <w:r>
        <w:t>, to report symptoms of deterioration of chronic conditions). As part of the plan for chronic disease management, adjust supports as needed (</w:t>
      </w:r>
      <w:proofErr w:type="spellStart"/>
      <w:r>
        <w:t>eg</w:t>
      </w:r>
      <w:proofErr w:type="spellEnd"/>
      <w:r>
        <w:t xml:space="preserve">, </w:t>
      </w:r>
      <w:r w:rsidRPr="00C62E3B">
        <w:t>instruct caregivers regarding the symptoms and signs of disease progression especially for a patient with severe or profound IDD</w:t>
      </w:r>
      <w:r>
        <w:t>)</w:t>
      </w:r>
      <w:r w:rsidR="00DC64BA">
        <w:t>.</w:t>
      </w:r>
      <w:r>
        <w:t xml:space="preserve"> </w:t>
      </w:r>
    </w:p>
  </w:endnote>
  <w:endnote w:id="10">
    <w:p w14:paraId="4A4306D5" w14:textId="748B48F8" w:rsidR="00FE3B56" w:rsidRDefault="00FE3B56" w:rsidP="009D2157">
      <w:pPr>
        <w:pStyle w:val="Endnote-H4"/>
      </w:pPr>
      <w:r>
        <w:rPr>
          <w:rStyle w:val="EndnoteReference"/>
        </w:rPr>
        <w:endnoteRef/>
      </w:r>
      <w:r>
        <w:t xml:space="preserve"> </w:t>
      </w:r>
      <w:r w:rsidRPr="00C62E3B">
        <w:rPr>
          <w:b w:val="0"/>
          <w:bCs w:val="0"/>
        </w:rPr>
        <w:t>Systems Review: Assess risks for common and important issues</w:t>
      </w:r>
      <w:r w:rsidR="002F1A4A">
        <w:rPr>
          <w:b w:val="0"/>
          <w:bCs w:val="0"/>
        </w:rPr>
        <w:t>.</w:t>
      </w:r>
      <w:r>
        <w:t xml:space="preserve"> </w:t>
      </w:r>
    </w:p>
    <w:p w14:paraId="0869E390" w14:textId="77777777" w:rsidR="00FE3B56" w:rsidRPr="00094B08" w:rsidRDefault="00FE3B56" w:rsidP="00B43695">
      <w:pPr>
        <w:pStyle w:val="Endnote-Context"/>
      </w:pPr>
      <w:r w:rsidRPr="00094B08">
        <w:t xml:space="preserve">Patients with IDD may not report symptoms in the way patients without IDD do, e.g., illness may present as changes in </w:t>
      </w:r>
      <w:proofErr w:type="spellStart"/>
      <w:r w:rsidRPr="00094B08">
        <w:t>behaviour</w:t>
      </w:r>
      <w:proofErr w:type="spellEnd"/>
      <w:r w:rsidRPr="00094B08">
        <w:t>. Taking a history with the help of patient questionnaires, with input from caregivers and facilitation by practice staff may provide the time and context to facilitate communication. Other strategies could involve doing a head-to-toe review of systems and thinking broadly about the different ways common or important illnesses present.</w:t>
      </w:r>
    </w:p>
    <w:p w14:paraId="30E068B2" w14:textId="4655397F" w:rsidR="00FE3B56" w:rsidRDefault="00FE3B56" w:rsidP="00B43695">
      <w:pPr>
        <w:pStyle w:val="Endnote-Context"/>
      </w:pPr>
      <w:r w:rsidRPr="00094B08">
        <w:t>The items below are selected with these principles in mind. The notes attached to each item include questions as a review of systems. but with emphasis on adults with IDD. To provide context for this history-taking, the notes also identify problems that are common or important in adults with IDD and, occasionally, suggested investigations or management considerations.</w:t>
      </w:r>
    </w:p>
    <w:p w14:paraId="2C1D4151" w14:textId="6ED36629" w:rsidR="00FE3B56" w:rsidRDefault="004A2825" w:rsidP="00967ED3">
      <w:pPr>
        <w:pStyle w:val="Endnote-H5"/>
      </w:pPr>
      <w:r>
        <w:t>PRACTICE TOOLS</w:t>
      </w:r>
    </w:p>
    <w:p w14:paraId="7ECAC8C9" w14:textId="6C29BF3E" w:rsidR="00FE3B56" w:rsidRDefault="004D4F03" w:rsidP="00967ED3">
      <w:pPr>
        <w:pStyle w:val="Endnote-Link"/>
      </w:pPr>
      <w:hyperlink r:id="rId13" w:history="1">
        <w:r w:rsidR="009A58D1" w:rsidRPr="00D93E1C">
          <w:rPr>
            <w:rStyle w:val="Hyperlink"/>
            <w:lang w:val="en-US"/>
          </w:rPr>
          <w:t>My Health Care Visit</w:t>
        </w:r>
      </w:hyperlink>
      <w:r w:rsidR="009A58D1" w:rsidRPr="00D93E1C">
        <w:rPr>
          <w:rStyle w:val="Hyperlink"/>
          <w:lang w:val="en-US"/>
        </w:rPr>
        <w:t xml:space="preserve">. </w:t>
      </w:r>
      <w:r w:rsidR="009A58D1" w:rsidRPr="00D93E1C">
        <w:t xml:space="preserve">This form is </w:t>
      </w:r>
      <w:r w:rsidR="00FE3B56">
        <w:t xml:space="preserve">useful </w:t>
      </w:r>
      <w:r w:rsidR="009A58D1" w:rsidRPr="00D93E1C">
        <w:t>before any</w:t>
      </w:r>
      <w:r w:rsidR="00FE3B56">
        <w:t xml:space="preserve"> healthcare </w:t>
      </w:r>
      <w:r w:rsidR="009A58D1" w:rsidRPr="00D93E1C">
        <w:t xml:space="preserve">visit, including those in </w:t>
      </w:r>
      <w:r w:rsidR="00FE3B56" w:rsidRPr="00CB67FD">
        <w:t xml:space="preserve">the </w:t>
      </w:r>
      <w:r w:rsidR="009A58D1" w:rsidRPr="00D93E1C">
        <w:t>Health Check.</w:t>
      </w:r>
      <w:r w:rsidR="00FE3B56">
        <w:t xml:space="preserve"> The first part of My Health Care Visit is to be filled out in advance and identifies reason for visit and recent symptoms</w:t>
      </w:r>
      <w:r w:rsidR="009A58D1" w:rsidRPr="00D93E1C">
        <w:t xml:space="preserve"> from the patient’s perspective. The second and third parts</w:t>
      </w:r>
      <w:r w:rsidR="00FE3B56">
        <w:t xml:space="preserve"> of the form </w:t>
      </w:r>
      <w:r w:rsidR="009A58D1" w:rsidRPr="00D93E1C">
        <w:t>are</w:t>
      </w:r>
      <w:r w:rsidR="00FE3B56">
        <w:t xml:space="preserve"> </w:t>
      </w:r>
      <w:r w:rsidR="00FE3B56" w:rsidRPr="00225455">
        <w:t xml:space="preserve">to </w:t>
      </w:r>
      <w:r w:rsidR="00FE3B56">
        <w:t xml:space="preserve">be </w:t>
      </w:r>
      <w:r w:rsidR="00FE3B56" w:rsidRPr="00225455">
        <w:t>complete</w:t>
      </w:r>
      <w:r w:rsidR="00FE3B56">
        <w:t>d</w:t>
      </w:r>
      <w:r w:rsidR="00FE3B56" w:rsidRPr="00225455">
        <w:t xml:space="preserve"> </w:t>
      </w:r>
      <w:r w:rsidR="00FE3B56">
        <w:t xml:space="preserve">at the visit </w:t>
      </w:r>
      <w:r w:rsidR="00FE3B56" w:rsidRPr="00225455">
        <w:t xml:space="preserve">with </w:t>
      </w:r>
      <w:r w:rsidR="00FE3B56">
        <w:t xml:space="preserve">the </w:t>
      </w:r>
      <w:r w:rsidR="00FE3B56" w:rsidRPr="00225455">
        <w:t xml:space="preserve">health care provider to foster understanding of the </w:t>
      </w:r>
      <w:r w:rsidR="009A58D1" w:rsidRPr="00D93E1C">
        <w:t>content</w:t>
      </w:r>
      <w:r w:rsidR="00FE3B56" w:rsidRPr="00225455">
        <w:t xml:space="preserve"> and outcome of </w:t>
      </w:r>
      <w:r w:rsidR="00FE3B56">
        <w:t xml:space="preserve">the </w:t>
      </w:r>
      <w:r w:rsidR="00FE3B56" w:rsidRPr="00225455">
        <w:t>visit.</w:t>
      </w:r>
    </w:p>
  </w:endnote>
  <w:endnote w:id="11">
    <w:p w14:paraId="60785E4F" w14:textId="208780E5" w:rsidR="003640B4" w:rsidRDefault="003640B4" w:rsidP="00E65F47">
      <w:pPr>
        <w:pStyle w:val="Endnote-H4"/>
      </w:pPr>
      <w:r>
        <w:rPr>
          <w:rStyle w:val="EndnoteReference"/>
        </w:rPr>
        <w:endnoteRef/>
      </w:r>
      <w:r>
        <w:t xml:space="preserve"> </w:t>
      </w:r>
      <w:r w:rsidRPr="00C522A2">
        <w:t>Eating, nutrition</w:t>
      </w:r>
    </w:p>
    <w:p w14:paraId="0711ECC6" w14:textId="7E330CBD" w:rsidR="003640B4" w:rsidRDefault="003640B4" w:rsidP="00E65F47">
      <w:pPr>
        <w:pStyle w:val="Endnote-Bullet-L1"/>
      </w:pPr>
      <w:r>
        <w:t xml:space="preserve">Abnormal weight or trends </w:t>
      </w:r>
    </w:p>
    <w:p w14:paraId="55B52751" w14:textId="077CADBE" w:rsidR="003640B4" w:rsidRDefault="003640B4" w:rsidP="00E65F47">
      <w:pPr>
        <w:pStyle w:val="Endnote-Bullet-L1"/>
      </w:pPr>
      <w:r>
        <w:t>Difficulty eating/feeding</w:t>
      </w:r>
    </w:p>
    <w:p w14:paraId="21B241E4" w14:textId="552207E5" w:rsidR="003640B4" w:rsidRDefault="003640B4" w:rsidP="00E65F47">
      <w:pPr>
        <w:pStyle w:val="Endnote-Bullet-L1"/>
      </w:pPr>
      <w:r>
        <w:t>S</w:t>
      </w:r>
      <w:r w:rsidRPr="00AD467D">
        <w:t>elective eating habits</w:t>
      </w:r>
    </w:p>
    <w:p w14:paraId="4E969E25" w14:textId="1595CD09" w:rsidR="003640B4" w:rsidRDefault="003640B4" w:rsidP="00E65F47">
      <w:pPr>
        <w:pStyle w:val="Endnote-Bullet-L1"/>
      </w:pPr>
      <w:r>
        <w:t xml:space="preserve">Any </w:t>
      </w:r>
      <w:r w:rsidRPr="00AD467D">
        <w:t>modifiable risk factors for obesity such as medications</w:t>
      </w:r>
      <w:r>
        <w:t xml:space="preserve">, </w:t>
      </w:r>
      <w:r w:rsidRPr="00AD467D">
        <w:t>environmental or social barriers to optimal diet</w:t>
      </w:r>
    </w:p>
    <w:p w14:paraId="033DD4E0" w14:textId="2EE79AE0" w:rsidR="003640B4" w:rsidRDefault="003640B4" w:rsidP="00E65F47">
      <w:pPr>
        <w:pStyle w:val="Endnote-Bullet-L1"/>
      </w:pPr>
      <w:r>
        <w:t>P</w:t>
      </w:r>
      <w:r w:rsidRPr="00AD467D">
        <w:t xml:space="preserve">otential </w:t>
      </w:r>
      <w:r>
        <w:t xml:space="preserve">nutritional </w:t>
      </w:r>
      <w:r w:rsidRPr="00AD467D">
        <w:t>deficiencies</w:t>
      </w:r>
    </w:p>
    <w:p w14:paraId="761C4A45" w14:textId="062D5D98" w:rsidR="003640B4" w:rsidRDefault="003640B4" w:rsidP="00E65F47">
      <w:pPr>
        <w:pStyle w:val="Endnote-Bullet-L1"/>
      </w:pPr>
      <w:r>
        <w:t>S</w:t>
      </w:r>
      <w:r w:rsidRPr="00AD467D">
        <w:t>ensory challenges</w:t>
      </w:r>
    </w:p>
    <w:p w14:paraId="365A426A" w14:textId="156C3802" w:rsidR="003640B4" w:rsidRDefault="003640B4" w:rsidP="00E65F47">
      <w:pPr>
        <w:pStyle w:val="Endnote-Bullet-L1"/>
      </w:pPr>
      <w:r>
        <w:t>Pica</w:t>
      </w:r>
    </w:p>
    <w:p w14:paraId="235C771F" w14:textId="2BC6CF34" w:rsidR="003640B4" w:rsidRDefault="003640B4" w:rsidP="00A05F23">
      <w:pPr>
        <w:pStyle w:val="Endnote-Context"/>
      </w:pPr>
      <w:r>
        <w:t>Obesity is common in adults with IDD. W</w:t>
      </w:r>
      <w:r w:rsidRPr="00AD467D">
        <w:t>aist circumference or waist-hip ratio measurement standards</w:t>
      </w:r>
      <w:r>
        <w:t xml:space="preserve"> can be used in people difficult to weigh</w:t>
      </w:r>
      <w:r w:rsidRPr="00AD467D">
        <w:t>. Counsel patients and their caregiver</w:t>
      </w:r>
      <w:r>
        <w:t xml:space="preserve">s </w:t>
      </w:r>
      <w:r w:rsidRPr="00AD467D">
        <w:t xml:space="preserve">regarding targets for an optimal diet and level of physical activity using general population guidelines by age. Advise patients regarding possible changes to their daily routines to meet these targets. </w:t>
      </w:r>
      <w:r w:rsidRPr="00E52B0B">
        <w:t xml:space="preserve">For anyone who is not meeting diet targets, refer to interprofessional health promotion resources, </w:t>
      </w:r>
      <w:proofErr w:type="spellStart"/>
      <w:r w:rsidRPr="00E52B0B">
        <w:t>eg</w:t>
      </w:r>
      <w:proofErr w:type="spellEnd"/>
      <w:r w:rsidRPr="00E52B0B">
        <w:t>, dietitians, support workers.</w:t>
      </w:r>
    </w:p>
    <w:p w14:paraId="2D52A44C" w14:textId="75CF7A3A" w:rsidR="003640B4" w:rsidRPr="00EB77F9" w:rsidRDefault="004A2825" w:rsidP="00A14424">
      <w:pPr>
        <w:pStyle w:val="Endnote-H5"/>
      </w:pPr>
      <w:r>
        <w:t>PRACTICE TOOLS</w:t>
      </w:r>
      <w:r w:rsidR="003640B4" w:rsidRPr="00EB77F9">
        <w:t xml:space="preserve"> </w:t>
      </w:r>
    </w:p>
    <w:p w14:paraId="5675CEC0" w14:textId="77777777" w:rsidR="003640B4" w:rsidRDefault="004D4F03" w:rsidP="00A14424">
      <w:pPr>
        <w:pStyle w:val="Endnote-Link"/>
      </w:pPr>
      <w:hyperlink r:id="rId14" w:history="1">
        <w:r w:rsidR="003640B4" w:rsidRPr="00B05122">
          <w:rPr>
            <w:rStyle w:val="Hyperlink"/>
          </w:rPr>
          <w:t>Monitoring chart -Weight</w:t>
        </w:r>
      </w:hyperlink>
    </w:p>
    <w:p w14:paraId="00897F1C" w14:textId="77777777" w:rsidR="003640B4" w:rsidRDefault="004D4F03" w:rsidP="00A14424">
      <w:pPr>
        <w:pStyle w:val="Endnote-Link"/>
      </w:pPr>
      <w:hyperlink r:id="rId15" w:history="1">
        <w:r w:rsidR="003640B4" w:rsidRPr="009F2F86">
          <w:rPr>
            <w:rStyle w:val="Hyperlink"/>
          </w:rPr>
          <w:t>Monitoring chart - Food diary (weekly)</w:t>
        </w:r>
      </w:hyperlink>
    </w:p>
    <w:p w14:paraId="5F0B54C3" w14:textId="4CB94D78" w:rsidR="003640B4" w:rsidRDefault="004D4F03" w:rsidP="00A14424">
      <w:pPr>
        <w:pStyle w:val="Endnote-Link"/>
      </w:pPr>
      <w:hyperlink r:id="rId16" w:history="1">
        <w:r w:rsidR="003640B4" w:rsidRPr="009F2F86">
          <w:rPr>
            <w:rStyle w:val="Hyperlink"/>
          </w:rPr>
          <w:t>Monitoring chart – Food diary (daily)</w:t>
        </w:r>
      </w:hyperlink>
    </w:p>
  </w:endnote>
  <w:endnote w:id="12">
    <w:p w14:paraId="656B302F" w14:textId="25721429" w:rsidR="003640B4" w:rsidRDefault="003640B4" w:rsidP="00EB77F9">
      <w:pPr>
        <w:pStyle w:val="Endnote-H4"/>
      </w:pPr>
      <w:r>
        <w:rPr>
          <w:rStyle w:val="EndnoteReference"/>
        </w:rPr>
        <w:endnoteRef/>
      </w:r>
      <w:r>
        <w:t xml:space="preserve"> </w:t>
      </w:r>
      <w:r w:rsidRPr="00A95CDB">
        <w:t>Physical activity</w:t>
      </w:r>
    </w:p>
    <w:p w14:paraId="01744A30" w14:textId="29B97DB6" w:rsidR="00E13DB4" w:rsidRPr="00D93E1C" w:rsidRDefault="00E13DB4" w:rsidP="00E13DB4">
      <w:pPr>
        <w:pStyle w:val="Endnote-Bullet-L1"/>
      </w:pPr>
      <w:r w:rsidRPr="00D93E1C">
        <w:t>Address modifiable risk factors such as environmental or social barriers to optimal physical activity</w:t>
      </w:r>
      <w:r w:rsidR="00104177">
        <w:t>.</w:t>
      </w:r>
    </w:p>
    <w:p w14:paraId="654ED5D2" w14:textId="4C187F37" w:rsidR="00E13DB4" w:rsidRDefault="003640B4" w:rsidP="00E13DB4">
      <w:pPr>
        <w:pStyle w:val="Endnote-Bullet-L1"/>
      </w:pPr>
      <w:r w:rsidRPr="00866E1F">
        <w:t>Refer to community programs adapted for people with IDD</w:t>
      </w:r>
      <w:r w:rsidR="00E13DB4" w:rsidRPr="00D93E1C">
        <w:t xml:space="preserve"> (</w:t>
      </w:r>
      <w:proofErr w:type="spellStart"/>
      <w:r w:rsidR="00E13DB4" w:rsidRPr="00D93E1C">
        <w:t>eg</w:t>
      </w:r>
      <w:proofErr w:type="spellEnd"/>
      <w:r w:rsidR="00E13DB4" w:rsidRPr="00D93E1C">
        <w:t>,</w:t>
      </w:r>
      <w:r w:rsidRPr="00866E1F">
        <w:t xml:space="preserve"> Special Olympics</w:t>
      </w:r>
      <w:r w:rsidR="00E13DB4" w:rsidRPr="00D93E1C">
        <w:t>)</w:t>
      </w:r>
      <w:r w:rsidR="00104177">
        <w:t>.</w:t>
      </w:r>
    </w:p>
    <w:p w14:paraId="21253BA8" w14:textId="79A4839A" w:rsidR="003640B4" w:rsidRDefault="00044BD4" w:rsidP="00044BD4">
      <w:pPr>
        <w:pStyle w:val="Endnote-Context"/>
      </w:pPr>
      <w:r w:rsidRPr="00D93E1C">
        <w:t xml:space="preserve">Physical inactivity is prevalent in patients with IDD. </w:t>
      </w:r>
    </w:p>
  </w:endnote>
  <w:endnote w:id="13">
    <w:p w14:paraId="23B588CF" w14:textId="240E31E7" w:rsidR="003640B4" w:rsidRDefault="003640B4" w:rsidP="00EB77F9">
      <w:pPr>
        <w:pStyle w:val="Endnote-H4"/>
      </w:pPr>
      <w:r>
        <w:rPr>
          <w:rStyle w:val="EndnoteReference"/>
        </w:rPr>
        <w:endnoteRef/>
      </w:r>
      <w:r>
        <w:t xml:space="preserve"> </w:t>
      </w:r>
      <w:r w:rsidRPr="00A95CDB">
        <w:t>Smoking, alcohol, drugs</w:t>
      </w:r>
      <w:r>
        <w:t xml:space="preserve"> </w:t>
      </w:r>
    </w:p>
    <w:p w14:paraId="6AF07F0F" w14:textId="77777777" w:rsidR="00CD5908" w:rsidRDefault="003640B4" w:rsidP="00CD5908">
      <w:pPr>
        <w:pStyle w:val="Endnote-Bullet-L1"/>
      </w:pPr>
      <w:r w:rsidRPr="002373DF">
        <w:t>Screen for addictions</w:t>
      </w:r>
    </w:p>
    <w:p w14:paraId="08665E94" w14:textId="6C185012" w:rsidR="003640B4" w:rsidRDefault="003640B4" w:rsidP="00CF7653">
      <w:pPr>
        <w:pStyle w:val="Endnote-Context"/>
      </w:pPr>
      <w:r w:rsidRPr="00866E1F">
        <w:t xml:space="preserve">Higher </w:t>
      </w:r>
      <w:r>
        <w:t xml:space="preserve">risk of addiction is associated with mild IDD, persons who live independently, males, those with psychiatric disorders, and those with legal issues. </w:t>
      </w:r>
    </w:p>
  </w:endnote>
  <w:endnote w:id="14">
    <w:p w14:paraId="72E1FC33" w14:textId="572A67DA" w:rsidR="003640B4" w:rsidRDefault="003640B4" w:rsidP="00EB77F9">
      <w:pPr>
        <w:pStyle w:val="Endnote-H4"/>
      </w:pPr>
      <w:r>
        <w:rPr>
          <w:rStyle w:val="EndnoteReference"/>
        </w:rPr>
        <w:endnoteRef/>
      </w:r>
      <w:r>
        <w:t xml:space="preserve"> </w:t>
      </w:r>
      <w:r w:rsidRPr="00491FB4">
        <w:t>Safety</w:t>
      </w:r>
      <w:r>
        <w:t xml:space="preserve"> </w:t>
      </w:r>
    </w:p>
    <w:p w14:paraId="62952B42" w14:textId="73AD6982" w:rsidR="003640B4" w:rsidRDefault="003640B4" w:rsidP="00E65F47">
      <w:pPr>
        <w:pStyle w:val="Endnote-Bullet-L1"/>
      </w:pPr>
      <w:r>
        <w:t>Consider risks for the individual (</w:t>
      </w:r>
      <w:proofErr w:type="spellStart"/>
      <w:r>
        <w:t>eg</w:t>
      </w:r>
      <w:proofErr w:type="spellEnd"/>
      <w:r>
        <w:t>, adult with DD who uses a bicycle, or has a propensity for pica, etc.)</w:t>
      </w:r>
    </w:p>
    <w:p w14:paraId="2B143C3C" w14:textId="293809A9" w:rsidR="003640B4" w:rsidRDefault="003640B4" w:rsidP="001A51DF">
      <w:pPr>
        <w:pStyle w:val="Endnote-Bullet-L1"/>
      </w:pPr>
      <w:r>
        <w:t>Include caregiver stress.</w:t>
      </w:r>
    </w:p>
  </w:endnote>
  <w:endnote w:id="15">
    <w:p w14:paraId="3378E091" w14:textId="162A0843" w:rsidR="003640B4" w:rsidRDefault="003640B4" w:rsidP="00EB77F9">
      <w:pPr>
        <w:pStyle w:val="Endnote-H4"/>
      </w:pPr>
      <w:r>
        <w:rPr>
          <w:rStyle w:val="EndnoteReference"/>
        </w:rPr>
        <w:endnoteRef/>
      </w:r>
      <w:r>
        <w:t xml:space="preserve"> </w:t>
      </w:r>
      <w:r w:rsidRPr="00491FB4">
        <w:t>Sleep</w:t>
      </w:r>
      <w:r>
        <w:t xml:space="preserve"> </w:t>
      </w:r>
    </w:p>
    <w:p w14:paraId="3F4BDEF0" w14:textId="7762BE84" w:rsidR="003640B4" w:rsidRDefault="003640B4" w:rsidP="00E65F47">
      <w:pPr>
        <w:pStyle w:val="Endnote-Bullet-L1"/>
      </w:pPr>
      <w:r w:rsidRPr="00BF52B6">
        <w:t xml:space="preserve">Do you have difficulty settling at night? </w:t>
      </w:r>
    </w:p>
    <w:p w14:paraId="5CB462DF" w14:textId="2233D354" w:rsidR="003640B4" w:rsidRDefault="003640B4" w:rsidP="00E65F47">
      <w:pPr>
        <w:pStyle w:val="Endnote-Bullet-L1"/>
      </w:pPr>
      <w:r w:rsidRPr="00BF52B6">
        <w:t xml:space="preserve">Nighttime wakening? </w:t>
      </w:r>
    </w:p>
    <w:p w14:paraId="0F41DC02" w14:textId="393EFD48" w:rsidR="003640B4" w:rsidRDefault="003640B4" w:rsidP="00E65F47">
      <w:pPr>
        <w:pStyle w:val="Endnote-Bullet-L1"/>
      </w:pPr>
      <w:r w:rsidRPr="00BF52B6">
        <w:t xml:space="preserve">Early morning awakening? </w:t>
      </w:r>
    </w:p>
    <w:p w14:paraId="6CA1E7C7" w14:textId="40877CBC" w:rsidR="003640B4" w:rsidRPr="00BF52B6" w:rsidRDefault="003640B4" w:rsidP="00E65F47">
      <w:pPr>
        <w:pStyle w:val="Endnote-Bullet-L1"/>
      </w:pPr>
      <w:r w:rsidRPr="00BF52B6">
        <w:t>Daytime sleepiness?</w:t>
      </w:r>
    </w:p>
    <w:p w14:paraId="00EAFE3B" w14:textId="30EBD923" w:rsidR="003640B4" w:rsidRDefault="003640B4" w:rsidP="00A05F23">
      <w:pPr>
        <w:pStyle w:val="Endnote-Context"/>
      </w:pPr>
      <w:r>
        <w:t xml:space="preserve">If a problem has been identified, consider the sleep environment: </w:t>
      </w:r>
      <w:r w:rsidRPr="00101A22">
        <w:t xml:space="preserve">noisy or snoring roommates, </w:t>
      </w:r>
      <w:r>
        <w:t xml:space="preserve">noisy </w:t>
      </w:r>
      <w:r w:rsidRPr="00101A22">
        <w:t>activities</w:t>
      </w:r>
      <w:r>
        <w:t xml:space="preserve"> such as laundry or cooking taking place at night, inadequate c</w:t>
      </w:r>
      <w:r w:rsidRPr="00101A22">
        <w:t>urtains or blinds</w:t>
      </w:r>
      <w:r>
        <w:t xml:space="preserve"> or</w:t>
      </w:r>
      <w:r w:rsidRPr="00101A22">
        <w:t xml:space="preserve"> lighting outside the </w:t>
      </w:r>
      <w:r>
        <w:t xml:space="preserve">bedroom </w:t>
      </w:r>
      <w:r w:rsidRPr="00101A22">
        <w:t>window</w:t>
      </w:r>
      <w:r>
        <w:t xml:space="preserve">. </w:t>
      </w:r>
    </w:p>
    <w:p w14:paraId="5227DC86" w14:textId="77777777" w:rsidR="003640B4" w:rsidRDefault="003640B4" w:rsidP="00A05F23">
      <w:pPr>
        <w:pStyle w:val="Endnote-Context"/>
      </w:pPr>
      <w:r>
        <w:t>Consider physical health issues (</w:t>
      </w:r>
      <w:proofErr w:type="spellStart"/>
      <w:r>
        <w:t>eg</w:t>
      </w:r>
      <w:proofErr w:type="spellEnd"/>
      <w:r>
        <w:t>, GERD, pain, OSA), medications (</w:t>
      </w:r>
      <w:proofErr w:type="spellStart"/>
      <w:r>
        <w:t>eg</w:t>
      </w:r>
      <w:proofErr w:type="spellEnd"/>
      <w:r>
        <w:t xml:space="preserve">, psychotropics, anti-epileptics), life experiences/stressors, psychiatric conditions. </w:t>
      </w:r>
    </w:p>
    <w:p w14:paraId="5E43D845" w14:textId="77777777" w:rsidR="003640B4" w:rsidRDefault="003640B4" w:rsidP="00A05F23">
      <w:pPr>
        <w:pStyle w:val="Endnote-Context"/>
      </w:pPr>
      <w:r>
        <w:t>Assess for OSA in patients at risk because of obesity, craniofacial abnormalities, certain genetic disorders (</w:t>
      </w:r>
      <w:proofErr w:type="spellStart"/>
      <w:r>
        <w:t>eg</w:t>
      </w:r>
      <w:proofErr w:type="spellEnd"/>
      <w:r>
        <w:t>, Down syndrome) and neuromuscular disorders (</w:t>
      </w:r>
      <w:proofErr w:type="spellStart"/>
      <w:r>
        <w:t>eg</w:t>
      </w:r>
      <w:proofErr w:type="spellEnd"/>
      <w:r>
        <w:t>, cerebral palsy).</w:t>
      </w:r>
    </w:p>
    <w:p w14:paraId="2921B3CB" w14:textId="3390F975" w:rsidR="003640B4" w:rsidRDefault="004A2825" w:rsidP="0066497C">
      <w:pPr>
        <w:pStyle w:val="Endnote-H5"/>
      </w:pPr>
      <w:r>
        <w:t>PRACTICE TOOLS</w:t>
      </w:r>
    </w:p>
    <w:p w14:paraId="3C31CE66" w14:textId="71DAE889" w:rsidR="003640B4" w:rsidRDefault="004D4F03" w:rsidP="0066497C">
      <w:pPr>
        <w:pStyle w:val="Endnote-Link"/>
      </w:pPr>
      <w:hyperlink r:id="rId17" w:history="1">
        <w:r w:rsidR="003640B4" w:rsidRPr="009F2F86">
          <w:rPr>
            <w:rStyle w:val="Hyperlink"/>
          </w:rPr>
          <w:t xml:space="preserve">Monitoring </w:t>
        </w:r>
        <w:r w:rsidR="003640B4">
          <w:rPr>
            <w:rStyle w:val="Hyperlink"/>
          </w:rPr>
          <w:t>chart</w:t>
        </w:r>
        <w:r w:rsidR="003640B4" w:rsidRPr="009F2F86">
          <w:rPr>
            <w:rStyle w:val="Hyperlink"/>
          </w:rPr>
          <w:t xml:space="preserve"> - sleep</w:t>
        </w:r>
      </w:hyperlink>
    </w:p>
  </w:endnote>
  <w:endnote w:id="16">
    <w:p w14:paraId="5900B941" w14:textId="6407F3F8" w:rsidR="003640B4" w:rsidRDefault="003640B4" w:rsidP="0066497C">
      <w:pPr>
        <w:pStyle w:val="Endnote-H4"/>
      </w:pPr>
      <w:r>
        <w:rPr>
          <w:rStyle w:val="EndnoteReference"/>
        </w:rPr>
        <w:endnoteRef/>
      </w:r>
      <w:r>
        <w:t xml:space="preserve"> </w:t>
      </w:r>
      <w:r w:rsidRPr="00491FB4">
        <w:t>Pain</w:t>
      </w:r>
    </w:p>
    <w:p w14:paraId="0BCFD55F" w14:textId="77777777" w:rsidR="003640B4" w:rsidRDefault="003640B4" w:rsidP="00F828E6">
      <w:pPr>
        <w:pStyle w:val="Endnote-Bullet-L1"/>
      </w:pPr>
      <w:r>
        <w:t xml:space="preserve">Assess for pain and its intensity with caregiver input and adapted tools. </w:t>
      </w:r>
    </w:p>
    <w:p w14:paraId="1734F0F2" w14:textId="77777777" w:rsidR="003640B4" w:rsidRDefault="003640B4" w:rsidP="00420B3B">
      <w:pPr>
        <w:pStyle w:val="Endnote-Context"/>
      </w:pPr>
      <w:r w:rsidRPr="002373DF">
        <w:t xml:space="preserve">Pain and distress can manifest atypically in patients with limited communication and can be difficult to recognize. Nonspecific changes in vital signs, appearance, and behavior (including being less responsive and more withdrawn) or new onset of </w:t>
      </w:r>
      <w:proofErr w:type="spellStart"/>
      <w:r w:rsidRPr="002373DF">
        <w:t>behaviours</w:t>
      </w:r>
      <w:proofErr w:type="spellEnd"/>
      <w:r w:rsidRPr="002373DF">
        <w:t xml:space="preserve"> that challenge, might be the only indicators of pain and distress. Common sources of pain include injury, dental caries, GERD, arthritis, constipation, urinary tract infections and pressure sores.</w:t>
      </w:r>
    </w:p>
    <w:p w14:paraId="1D810250" w14:textId="5BBED70B" w:rsidR="003640B4" w:rsidRPr="002D5239" w:rsidRDefault="004A2825" w:rsidP="00A14424">
      <w:pPr>
        <w:pStyle w:val="Endnote-H5"/>
      </w:pPr>
      <w:r>
        <w:t>PRACTICE TOOLS</w:t>
      </w:r>
      <w:r w:rsidR="003640B4" w:rsidRPr="002D5239">
        <w:t xml:space="preserve"> </w:t>
      </w:r>
    </w:p>
    <w:p w14:paraId="245D20C6" w14:textId="36CB4F83" w:rsidR="003640B4" w:rsidRDefault="004D4F03" w:rsidP="00A14424">
      <w:pPr>
        <w:pStyle w:val="Endnote-Link"/>
      </w:pPr>
      <w:hyperlink r:id="rId18" w:history="1">
        <w:r w:rsidR="003640B4" w:rsidRPr="00B05122">
          <w:rPr>
            <w:rStyle w:val="Hyperlink"/>
          </w:rPr>
          <w:t>Monitoring charts – Pain assessment</w:t>
        </w:r>
      </w:hyperlink>
    </w:p>
  </w:endnote>
  <w:endnote w:id="17">
    <w:p w14:paraId="732215E3" w14:textId="7B504F6F" w:rsidR="003640B4" w:rsidRPr="0038545C" w:rsidRDefault="003640B4" w:rsidP="00837BF6">
      <w:pPr>
        <w:pStyle w:val="Endnote-H4"/>
      </w:pPr>
      <w:r w:rsidRPr="0038545C">
        <w:rPr>
          <w:rStyle w:val="EndnoteReference"/>
        </w:rPr>
        <w:endnoteRef/>
      </w:r>
      <w:r w:rsidRPr="0038545C">
        <w:t xml:space="preserve"> Head and neck</w:t>
      </w:r>
    </w:p>
    <w:p w14:paraId="3F3851FD" w14:textId="036E8782" w:rsidR="003640B4" w:rsidRPr="00B120DE" w:rsidRDefault="003640B4" w:rsidP="00B120DE">
      <w:pPr>
        <w:pStyle w:val="Endnote-Bullet-L1"/>
      </w:pPr>
      <w:r w:rsidRPr="00B120DE">
        <w:t xml:space="preserve">Note years of last audiology, vision, and dental checks </w:t>
      </w:r>
    </w:p>
    <w:p w14:paraId="6EAE250F" w14:textId="425140F8" w:rsidR="003640B4" w:rsidRPr="00B120DE" w:rsidRDefault="003640B4" w:rsidP="00B120DE">
      <w:pPr>
        <w:pStyle w:val="Endnote-Bullet-L1"/>
      </w:pPr>
      <w:r w:rsidRPr="00B120DE">
        <w:t>Check for cerumen impaction every 6 months and address (</w:t>
      </w:r>
      <w:proofErr w:type="spellStart"/>
      <w:r w:rsidRPr="00B120DE">
        <w:t>eg</w:t>
      </w:r>
      <w:proofErr w:type="spellEnd"/>
      <w:r w:rsidRPr="00B120DE">
        <w:t xml:space="preserve">, by advising periodic use of mineral oil drops). </w:t>
      </w:r>
    </w:p>
    <w:p w14:paraId="29D09B99" w14:textId="42365385" w:rsidR="003640B4" w:rsidRPr="00B120DE" w:rsidRDefault="003640B4" w:rsidP="00B120DE">
      <w:pPr>
        <w:pStyle w:val="Endnote-Bullet-L1"/>
      </w:pPr>
      <w:r w:rsidRPr="00B120DE">
        <w:t xml:space="preserve">Whispered voice test annually in office </w:t>
      </w:r>
    </w:p>
    <w:p w14:paraId="42EE0CD5" w14:textId="2AFDD3B7" w:rsidR="004F2DAB" w:rsidRPr="00D93E1C" w:rsidRDefault="004F2DAB" w:rsidP="004F2DAB">
      <w:pPr>
        <w:pStyle w:val="Endnote-Bullet-L1"/>
      </w:pPr>
      <w:r w:rsidRPr="00D93E1C">
        <w:t xml:space="preserve">Refer for audiology assessments based on screening and every 5 years after age 45 for age related hearing loss, earlier if indicated by office screen, diagnosis, or </w:t>
      </w:r>
      <w:proofErr w:type="spellStart"/>
      <w:r w:rsidRPr="00D93E1C">
        <w:t>behaviour</w:t>
      </w:r>
      <w:proofErr w:type="spellEnd"/>
      <w:r w:rsidRPr="00D93E1C">
        <w:t xml:space="preserve"> change</w:t>
      </w:r>
      <w:r w:rsidR="00104177">
        <w:t>.</w:t>
      </w:r>
    </w:p>
    <w:p w14:paraId="416F0F76" w14:textId="66AFEDB1" w:rsidR="004F2DAB" w:rsidRPr="00D93E1C" w:rsidRDefault="004F2DAB" w:rsidP="004F2DAB">
      <w:pPr>
        <w:pStyle w:val="Endnote-Bullet-L1"/>
      </w:pPr>
      <w:r w:rsidRPr="00D93E1C">
        <w:t xml:space="preserve">Screen vision annually in office with modified or individualized methods if necessary (see Physical exam, Vision) or obtain expert help. Refer for optometry assessment every 2 years after age 40 for glaucoma and cataracts or if indicated by office screening, diagnosis, or </w:t>
      </w:r>
      <w:proofErr w:type="spellStart"/>
      <w:r w:rsidRPr="00D93E1C">
        <w:t>behaviour</w:t>
      </w:r>
      <w:proofErr w:type="spellEnd"/>
      <w:r w:rsidRPr="00D93E1C">
        <w:t xml:space="preserve"> change</w:t>
      </w:r>
      <w:r w:rsidR="00104177">
        <w:t>.</w:t>
      </w:r>
      <w:r w:rsidRPr="00D93E1C">
        <w:t xml:space="preserve"> </w:t>
      </w:r>
    </w:p>
    <w:p w14:paraId="5CB0F1AA" w14:textId="063E93D1" w:rsidR="004F2DAB" w:rsidRDefault="004F2DAB" w:rsidP="004F2DAB">
      <w:pPr>
        <w:pStyle w:val="Endnote-Bullet-L1"/>
      </w:pPr>
      <w:r w:rsidRPr="00D93E1C">
        <w:t xml:space="preserve">Promote regular dental care and assessment; also, if change in </w:t>
      </w:r>
      <w:proofErr w:type="spellStart"/>
      <w:r w:rsidRPr="00D93E1C">
        <w:t>behaviour</w:t>
      </w:r>
      <w:proofErr w:type="spellEnd"/>
      <w:r w:rsidRPr="00D93E1C">
        <w:t>. If dental erosions, screen for GERD</w:t>
      </w:r>
      <w:r w:rsidR="00104177">
        <w:t>.</w:t>
      </w:r>
    </w:p>
    <w:p w14:paraId="30FE1D7C" w14:textId="1F36DDEF" w:rsidR="003640B4" w:rsidRDefault="003640B4" w:rsidP="00A05F23">
      <w:pPr>
        <w:pStyle w:val="Endnote-Context"/>
      </w:pPr>
      <w:r w:rsidRPr="00163599">
        <w:t>Impairments</w:t>
      </w:r>
      <w:r>
        <w:t xml:space="preserve"> in hearing, vision, and dental health among adults with IDD are often underdiagnosed and can result in changes in </w:t>
      </w:r>
      <w:proofErr w:type="spellStart"/>
      <w:r>
        <w:t>behaviours</w:t>
      </w:r>
      <w:proofErr w:type="spellEnd"/>
      <w:r>
        <w:t xml:space="preserve"> and adaptive functioning. Dental disease is among the most common health problems in adults with IDD owing to their difficulties in maintaining oral hygiene routines and accessing dental care.</w:t>
      </w:r>
    </w:p>
  </w:endnote>
  <w:endnote w:id="18">
    <w:p w14:paraId="078FCE32" w14:textId="17BA8E36" w:rsidR="003640B4" w:rsidRDefault="003640B4" w:rsidP="00837BF6">
      <w:pPr>
        <w:pStyle w:val="Endnote-H4"/>
      </w:pPr>
      <w:r>
        <w:rPr>
          <w:rStyle w:val="EndnoteReference"/>
        </w:rPr>
        <w:endnoteRef/>
      </w:r>
      <w:r>
        <w:t xml:space="preserve"> </w:t>
      </w:r>
      <w:r w:rsidRPr="000B35C7">
        <w:t>Cardiovascular</w:t>
      </w:r>
    </w:p>
    <w:p w14:paraId="5BEAA34A" w14:textId="62D5417C" w:rsidR="00AA6B8C" w:rsidRPr="00D93E1C" w:rsidRDefault="00AA6B8C" w:rsidP="00AA6B8C">
      <w:pPr>
        <w:pStyle w:val="Endnote-Bullet-L1"/>
      </w:pPr>
      <w:r w:rsidRPr="00D93E1C">
        <w:t>Screen for cardiovascular risk factors earlier and more regularly than in the general population and promote prevention</w:t>
      </w:r>
      <w:r w:rsidR="00104177">
        <w:t>.</w:t>
      </w:r>
    </w:p>
    <w:p w14:paraId="538739DB" w14:textId="2A3E3074" w:rsidR="00AA6B8C" w:rsidRPr="00D93E1C" w:rsidRDefault="00AA6B8C" w:rsidP="00AA6B8C">
      <w:pPr>
        <w:pStyle w:val="Endnote-Bullet-L1"/>
      </w:pPr>
      <w:r w:rsidRPr="00D93E1C">
        <w:t>Assess annually for signs and symptoms of CHF</w:t>
      </w:r>
      <w:r w:rsidR="00104177">
        <w:t>.</w:t>
      </w:r>
    </w:p>
    <w:p w14:paraId="2F4E248F" w14:textId="5042EE62" w:rsidR="003640B4" w:rsidRDefault="003640B4" w:rsidP="00A05F23">
      <w:pPr>
        <w:pStyle w:val="Endnote-Context"/>
      </w:pPr>
      <w:r w:rsidRPr="006820DC">
        <w:t xml:space="preserve">Cardiovascular </w:t>
      </w:r>
      <w:r w:rsidRPr="00163599">
        <w:t>disease</w:t>
      </w:r>
      <w:r w:rsidRPr="006820DC">
        <w:t xml:space="preserve"> is prevalent and risk factors are increased. Genetic cardiac concerns (</w:t>
      </w:r>
      <w:proofErr w:type="spellStart"/>
      <w:r w:rsidRPr="006820DC">
        <w:t>eg</w:t>
      </w:r>
      <w:proofErr w:type="spellEnd"/>
      <w:r w:rsidRPr="006820DC">
        <w:t>, in Fragile X or Williams syndromes) may be lost to follow-up.</w:t>
      </w:r>
    </w:p>
  </w:endnote>
  <w:endnote w:id="19">
    <w:p w14:paraId="3CEF1360" w14:textId="117C01AC" w:rsidR="003640B4" w:rsidRDefault="003640B4" w:rsidP="00837BF6">
      <w:pPr>
        <w:pStyle w:val="Endnote-H4"/>
      </w:pPr>
      <w:r>
        <w:rPr>
          <w:rStyle w:val="EndnoteReference"/>
        </w:rPr>
        <w:endnoteRef/>
      </w:r>
      <w:r>
        <w:t xml:space="preserve"> </w:t>
      </w:r>
      <w:r w:rsidRPr="00B561BB">
        <w:t>Respiratory</w:t>
      </w:r>
    </w:p>
    <w:p w14:paraId="3AC725BD" w14:textId="685BA518" w:rsidR="003640B4" w:rsidRDefault="003640B4" w:rsidP="00B120DE">
      <w:pPr>
        <w:pStyle w:val="Endnote-Bullet-L1"/>
      </w:pPr>
      <w:r>
        <w:t xml:space="preserve">Screen for asthma and COPD. </w:t>
      </w:r>
    </w:p>
    <w:p w14:paraId="04FF91AA" w14:textId="1959623F" w:rsidR="003640B4" w:rsidRDefault="003640B4" w:rsidP="00B120DE">
      <w:pPr>
        <w:pStyle w:val="Endnote-Bullet-L1"/>
      </w:pPr>
      <w:r>
        <w:t>Screen for aspiration (throat clearing after swallowing, coughing, choking, drooling, long mealtimes, aversion to food, weight loss, frequent chest infections).</w:t>
      </w:r>
    </w:p>
    <w:p w14:paraId="5B83DD9B" w14:textId="40CBC784" w:rsidR="003640B4" w:rsidRDefault="003640B4" w:rsidP="00B120DE">
      <w:pPr>
        <w:pStyle w:val="Endnote-Bullet-L1"/>
      </w:pPr>
      <w:r>
        <w:t>Consider referral to speech pathologist and swallowing imaging.</w:t>
      </w:r>
    </w:p>
    <w:p w14:paraId="699DCF10" w14:textId="15B3FD81" w:rsidR="003640B4" w:rsidRDefault="003640B4" w:rsidP="00B120DE">
      <w:pPr>
        <w:pStyle w:val="Endnote-Bullet-L1"/>
      </w:pPr>
      <w:r>
        <w:t>Consider obstructive sleep apnea, especially in Down syndrome.</w:t>
      </w:r>
    </w:p>
    <w:p w14:paraId="11FFA520" w14:textId="32BFF8EC" w:rsidR="003640B4" w:rsidRDefault="003640B4" w:rsidP="00A05F23">
      <w:pPr>
        <w:pStyle w:val="Endnote-Context"/>
      </w:pPr>
      <w:r w:rsidRPr="006820DC">
        <w:t>Respiratory disorders are among the most common causes of death for adults with IDD.</w:t>
      </w:r>
      <w:r>
        <w:t xml:space="preserve"> Asthma and COPD</w:t>
      </w:r>
      <w:r w:rsidRPr="006820DC">
        <w:t xml:space="preserve"> are more prevalent than in the general population. Pulmonary function testing may not be possible but a phone call to the respiratory technician doing the test might be informative. Swallowing difficulties are prevalent in those patients with neuromuscular dysfunction or taking certain medications with anticholinergic side effects, and they might result in aspiration or asphyxiation.</w:t>
      </w:r>
    </w:p>
  </w:endnote>
  <w:endnote w:id="20">
    <w:p w14:paraId="051CAC9C" w14:textId="479D725D" w:rsidR="003640B4" w:rsidRDefault="003640B4" w:rsidP="00837BF6">
      <w:pPr>
        <w:pStyle w:val="Endnote-H4"/>
      </w:pPr>
      <w:r>
        <w:rPr>
          <w:rStyle w:val="EndnoteReference"/>
        </w:rPr>
        <w:endnoteRef/>
      </w:r>
      <w:r>
        <w:t xml:space="preserve"> </w:t>
      </w:r>
      <w:r w:rsidRPr="00630A3C">
        <w:t>Gastrointestinal</w:t>
      </w:r>
      <w:r>
        <w:t xml:space="preserve"> </w:t>
      </w:r>
    </w:p>
    <w:p w14:paraId="38168EE0" w14:textId="65CB0AFE" w:rsidR="003640B4" w:rsidRDefault="003640B4" w:rsidP="00B120DE">
      <w:pPr>
        <w:pStyle w:val="Endnote-Bullet-L1"/>
      </w:pPr>
      <w:r>
        <w:t xml:space="preserve">Screen for GERD, constipation, peptic ulcer disease, celiac disease, pica. </w:t>
      </w:r>
    </w:p>
    <w:p w14:paraId="5473F5AD" w14:textId="5580560A" w:rsidR="003640B4" w:rsidRDefault="003640B4" w:rsidP="00B120DE">
      <w:pPr>
        <w:pStyle w:val="Endnote-Bullet-L1"/>
      </w:pPr>
      <w:r>
        <w:t xml:space="preserve">Test for H. pylori in symptomatic and in asymptomatic adults living in institutional setting or group home; if using a breath test, consider retesting at regular intervals, 3 - 5 years. </w:t>
      </w:r>
    </w:p>
    <w:p w14:paraId="7FA4C091" w14:textId="1F05C984" w:rsidR="003640B4" w:rsidRDefault="003640B4" w:rsidP="00B120DE">
      <w:pPr>
        <w:pStyle w:val="Endnote-Bullet-L1"/>
      </w:pPr>
      <w:r>
        <w:t>Ask about frequency and consistency of bowel movements; address reversible medical causes.</w:t>
      </w:r>
    </w:p>
    <w:p w14:paraId="35D0FA86" w14:textId="133E0295" w:rsidR="003640B4" w:rsidRDefault="003640B4" w:rsidP="00A05F23">
      <w:pPr>
        <w:pStyle w:val="Endnote-Context"/>
      </w:pPr>
      <w:r w:rsidRPr="006820DC">
        <w:t xml:space="preserve">Gastrointestinal problems are common among adults with IDD. Presenting symptoms and signs are often different than in the general population and might include food aversion and changes in behavior or weight. Symptoms of GERD may include abnormal posturing, food refusals, excessive water drinking or pica </w:t>
      </w:r>
      <w:proofErr w:type="spellStart"/>
      <w:r w:rsidRPr="006820DC">
        <w:t>behaviours</w:t>
      </w:r>
      <w:proofErr w:type="spellEnd"/>
      <w:r w:rsidRPr="006820DC">
        <w:t>.</w:t>
      </w:r>
      <w:r>
        <w:t xml:space="preserve"> </w:t>
      </w:r>
    </w:p>
    <w:p w14:paraId="68CC8317" w14:textId="6D35F167" w:rsidR="003640B4" w:rsidRDefault="004A2825" w:rsidP="00A14424">
      <w:pPr>
        <w:pStyle w:val="Endnote-H5"/>
      </w:pPr>
      <w:r>
        <w:t>PRACTICE TOOLS</w:t>
      </w:r>
      <w:r w:rsidR="003640B4">
        <w:t xml:space="preserve"> </w:t>
      </w:r>
    </w:p>
    <w:p w14:paraId="2849CD6D" w14:textId="4143764D" w:rsidR="003640B4" w:rsidRDefault="004D4F03" w:rsidP="00A14424">
      <w:pPr>
        <w:pStyle w:val="Endnote-Link"/>
      </w:pPr>
      <w:hyperlink r:id="rId19" w:history="1">
        <w:r w:rsidR="003640B4" w:rsidRPr="009F2F86">
          <w:rPr>
            <w:rStyle w:val="Hyperlink"/>
          </w:rPr>
          <w:t>Monitoring chart</w:t>
        </w:r>
        <w:r w:rsidR="003640B4">
          <w:rPr>
            <w:rStyle w:val="Hyperlink"/>
          </w:rPr>
          <w:t xml:space="preserve"> - </w:t>
        </w:r>
        <w:r w:rsidR="003640B4" w:rsidRPr="009F2F86">
          <w:rPr>
            <w:rStyle w:val="Hyperlink"/>
          </w:rPr>
          <w:t>bowel movements</w:t>
        </w:r>
      </w:hyperlink>
    </w:p>
  </w:endnote>
  <w:endnote w:id="21">
    <w:p w14:paraId="5847E187" w14:textId="052CB1A6" w:rsidR="003640B4" w:rsidRDefault="003640B4" w:rsidP="00837BF6">
      <w:pPr>
        <w:pStyle w:val="Endnote-H4"/>
      </w:pPr>
      <w:r>
        <w:rPr>
          <w:rStyle w:val="EndnoteReference"/>
        </w:rPr>
        <w:endnoteRef/>
      </w:r>
      <w:r>
        <w:t xml:space="preserve"> </w:t>
      </w:r>
      <w:r w:rsidRPr="00D56606">
        <w:t>Genitourinary</w:t>
      </w:r>
    </w:p>
    <w:p w14:paraId="1DBAA1B9" w14:textId="3204B9CF" w:rsidR="00A01A94" w:rsidRPr="00D93E1C" w:rsidRDefault="00A01A94" w:rsidP="00A01A94">
      <w:pPr>
        <w:pStyle w:val="Endnote-Bullet-L1"/>
      </w:pPr>
      <w:r w:rsidRPr="00D93E1C">
        <w:t xml:space="preserve">Review peri-menstrual and menstrual issues with females </w:t>
      </w:r>
    </w:p>
    <w:p w14:paraId="1BDB070F" w14:textId="52E953BF" w:rsidR="00A01A94" w:rsidRPr="00D93E1C" w:rsidRDefault="00A01A94" w:rsidP="00A01A94">
      <w:pPr>
        <w:pStyle w:val="Endnote-Bullet-L1"/>
      </w:pPr>
      <w:r w:rsidRPr="00D93E1C">
        <w:t>Discuss methods of menstrual regulation with women with IDD and their caregivers</w:t>
      </w:r>
      <w:r w:rsidR="00104177">
        <w:t>.</w:t>
      </w:r>
    </w:p>
    <w:p w14:paraId="3CAA7D8D" w14:textId="5C3EB1FB" w:rsidR="00A01A94" w:rsidRPr="00D93E1C" w:rsidRDefault="00A01A94" w:rsidP="00A01A94">
      <w:pPr>
        <w:pStyle w:val="Endnote-Bullet-L1"/>
      </w:pPr>
      <w:r w:rsidRPr="00D93E1C">
        <w:t>Ask about menopausal symptoms at an earlier age than women without IDD</w:t>
      </w:r>
      <w:r w:rsidR="00104177">
        <w:t>.</w:t>
      </w:r>
    </w:p>
    <w:p w14:paraId="739F5F6A" w14:textId="6C3EE417" w:rsidR="00A01A94" w:rsidRPr="00D93E1C" w:rsidRDefault="00A01A94" w:rsidP="00A01A94">
      <w:pPr>
        <w:pStyle w:val="Endnote-Bullet-L1"/>
      </w:pPr>
      <w:r w:rsidRPr="00D93E1C">
        <w:t>Screen for sexual exploitation and unintentional risky or harmful sexual practices</w:t>
      </w:r>
      <w:r w:rsidR="00104177">
        <w:t>.</w:t>
      </w:r>
    </w:p>
    <w:p w14:paraId="441C5381" w14:textId="43C13480" w:rsidR="00A01A94" w:rsidRPr="00D93E1C" w:rsidRDefault="00A01A94" w:rsidP="00A01A94">
      <w:pPr>
        <w:pStyle w:val="Endnote-Bullet-L1"/>
      </w:pPr>
      <w:r w:rsidRPr="00D93E1C">
        <w:t>Consider urinary retention in patients with neurological dysfunction</w:t>
      </w:r>
      <w:r w:rsidR="00104177">
        <w:t>.</w:t>
      </w:r>
    </w:p>
    <w:p w14:paraId="46A8DD96" w14:textId="0A3784D5" w:rsidR="003640B4" w:rsidRDefault="003640B4" w:rsidP="00A05F23">
      <w:pPr>
        <w:pStyle w:val="Endnote-Context"/>
      </w:pPr>
      <w:r w:rsidRPr="007B3E24">
        <w:t xml:space="preserve">Provide education regarding </w:t>
      </w:r>
      <w:r>
        <w:t xml:space="preserve">menstrual </w:t>
      </w:r>
      <w:r w:rsidRPr="007B3E24">
        <w:t>symptom management and options, including the use of non-hormonal interventions (</w:t>
      </w:r>
      <w:proofErr w:type="spellStart"/>
      <w:r w:rsidRPr="007B3E24">
        <w:t>eg</w:t>
      </w:r>
      <w:proofErr w:type="spellEnd"/>
      <w:r w:rsidRPr="007B3E24">
        <w:t>, NSAIDs).</w:t>
      </w:r>
      <w:r>
        <w:t xml:space="preserve"> </w:t>
      </w:r>
      <w:r w:rsidRPr="007B3E24">
        <w:t>In deciding together on a method</w:t>
      </w:r>
      <w:r>
        <w:t xml:space="preserve"> of menstrual regulation, if desired</w:t>
      </w:r>
      <w:r w:rsidRPr="007B3E24">
        <w:t>, consider safety and effectiveness, the patient’s health circumstances, and the patient’s and caregiver’s views on the benefits and burdens to the patient.</w:t>
      </w:r>
      <w:r>
        <w:t xml:space="preserve"> </w:t>
      </w:r>
      <w:r w:rsidRPr="007B3E24">
        <w:t xml:space="preserve">When </w:t>
      </w:r>
      <w:r>
        <w:t>risky or harmful sexual practices</w:t>
      </w:r>
      <w:r w:rsidRPr="007B3E24">
        <w:t xml:space="preserve"> are present, facilitate deliberation with the patient and her caregiver of a range of methods to reduce risk of infections and to regulate fertility</w:t>
      </w:r>
      <w:r w:rsidR="00DC64BA">
        <w:t>.</w:t>
      </w:r>
    </w:p>
    <w:p w14:paraId="3CE3A609" w14:textId="497AEF82" w:rsidR="003640B4" w:rsidRPr="000B35C7" w:rsidRDefault="004A2825" w:rsidP="00A14424">
      <w:pPr>
        <w:pStyle w:val="Endnote-H5"/>
      </w:pPr>
      <w:r>
        <w:t>PRACTICE TOOLS</w:t>
      </w:r>
      <w:r w:rsidR="003640B4" w:rsidRPr="000B35C7">
        <w:t xml:space="preserve"> </w:t>
      </w:r>
    </w:p>
    <w:p w14:paraId="687CBAC3" w14:textId="3A5314B7" w:rsidR="003640B4" w:rsidRDefault="004D4F03" w:rsidP="00A14424">
      <w:pPr>
        <w:pStyle w:val="Endnote-Link"/>
      </w:pPr>
      <w:hyperlink r:id="rId20" w:history="1">
        <w:r w:rsidR="003640B4" w:rsidRPr="009F2F86">
          <w:rPr>
            <w:rStyle w:val="Hyperlink"/>
          </w:rPr>
          <w:t>Monitoring chart – menstrual cycle</w:t>
        </w:r>
      </w:hyperlink>
    </w:p>
  </w:endnote>
  <w:endnote w:id="22">
    <w:p w14:paraId="21ED6440" w14:textId="6AE6836D" w:rsidR="003640B4" w:rsidRDefault="003640B4" w:rsidP="00837BF6">
      <w:pPr>
        <w:pStyle w:val="Endnote-H4"/>
      </w:pPr>
      <w:r>
        <w:rPr>
          <w:rStyle w:val="EndnoteReference"/>
        </w:rPr>
        <w:endnoteRef/>
      </w:r>
      <w:r>
        <w:t xml:space="preserve"> </w:t>
      </w:r>
      <w:r w:rsidRPr="00CC4B15">
        <w:t>Sexual healt</w:t>
      </w:r>
      <w:r>
        <w:t>h</w:t>
      </w:r>
    </w:p>
    <w:p w14:paraId="2B2BA8FE" w14:textId="559F57B7" w:rsidR="003640B4" w:rsidRDefault="003640B4" w:rsidP="00B120DE">
      <w:pPr>
        <w:pStyle w:val="Endnote-Bullet-L1"/>
      </w:pPr>
      <w:r>
        <w:t xml:space="preserve">Ask about sex. Consider using some of the following questions: </w:t>
      </w:r>
    </w:p>
    <w:p w14:paraId="44FEE586" w14:textId="20F0EEA2" w:rsidR="003640B4" w:rsidRDefault="003640B4" w:rsidP="007D73B0">
      <w:pPr>
        <w:pStyle w:val="Endnote-Bullet-L2"/>
      </w:pPr>
      <w:r w:rsidRPr="00853596">
        <w:t xml:space="preserve">Do you have a boyfriend or girlfriend? </w:t>
      </w:r>
    </w:p>
    <w:p w14:paraId="01B829F0" w14:textId="5E39D831" w:rsidR="003640B4" w:rsidRDefault="003640B4" w:rsidP="007D73B0">
      <w:pPr>
        <w:pStyle w:val="Endnote-Bullet-L2"/>
      </w:pPr>
      <w:r w:rsidRPr="00853596">
        <w:t xml:space="preserve">Do you have a physical relationship? </w:t>
      </w:r>
    </w:p>
    <w:p w14:paraId="112D9104" w14:textId="6C27C4C3" w:rsidR="003640B4" w:rsidRDefault="003640B4" w:rsidP="007D73B0">
      <w:pPr>
        <w:pStyle w:val="Endnote-Bullet-L2"/>
      </w:pPr>
      <w:r w:rsidRPr="00853596">
        <w:t xml:space="preserve">Do you kiss or hug your boy or girlfriend? </w:t>
      </w:r>
    </w:p>
    <w:p w14:paraId="1C20FC1B" w14:textId="4CB45B6F" w:rsidR="003640B4" w:rsidRDefault="003640B4" w:rsidP="007D73B0">
      <w:pPr>
        <w:pStyle w:val="Endnote-Bullet-L2"/>
      </w:pPr>
      <w:r w:rsidRPr="00853596">
        <w:t xml:space="preserve">What does “having sex” mean to you? </w:t>
      </w:r>
    </w:p>
    <w:p w14:paraId="38746463" w14:textId="3E248F0F" w:rsidR="003640B4" w:rsidRDefault="003640B4" w:rsidP="007D73B0">
      <w:pPr>
        <w:pStyle w:val="Endnote-Bullet-L2"/>
      </w:pPr>
      <w:r w:rsidRPr="00853596">
        <w:t xml:space="preserve">Do you feel safe? </w:t>
      </w:r>
    </w:p>
    <w:p w14:paraId="643BF5DE" w14:textId="1B911535" w:rsidR="003640B4" w:rsidRDefault="003640B4" w:rsidP="007D73B0">
      <w:pPr>
        <w:pStyle w:val="Endnote-Bullet-L2"/>
      </w:pPr>
      <w:r w:rsidRPr="00853596">
        <w:t xml:space="preserve">Does having sex hurt? </w:t>
      </w:r>
    </w:p>
    <w:p w14:paraId="6B541F8F" w14:textId="27E7552B" w:rsidR="003640B4" w:rsidRDefault="003640B4" w:rsidP="007D73B0">
      <w:pPr>
        <w:pStyle w:val="Endnote-Bullet-L2"/>
      </w:pPr>
      <w:r w:rsidRPr="00853596">
        <w:t xml:space="preserve">Have you had sex with someone who is not your boyfriend or girlfriend? </w:t>
      </w:r>
    </w:p>
    <w:p w14:paraId="154BAFF5" w14:textId="70BB0DF6" w:rsidR="003640B4" w:rsidRDefault="003640B4" w:rsidP="007D73B0">
      <w:pPr>
        <w:pStyle w:val="Endnote-Bullet-L2"/>
      </w:pPr>
      <w:r w:rsidRPr="00853596">
        <w:t xml:space="preserve">Who talks to you about sex? Do you think you know everything you need to know about sex? </w:t>
      </w:r>
    </w:p>
    <w:p w14:paraId="13A9F8FD" w14:textId="5313912C" w:rsidR="003640B4" w:rsidRDefault="003640B4" w:rsidP="007D73B0">
      <w:pPr>
        <w:pStyle w:val="Endnote-Bullet-L2"/>
      </w:pPr>
      <w:r w:rsidRPr="00853596">
        <w:t xml:space="preserve">Do you have any questions about sex? </w:t>
      </w:r>
    </w:p>
    <w:p w14:paraId="7AC1B11D" w14:textId="30B53A19" w:rsidR="003640B4" w:rsidRDefault="003640B4" w:rsidP="007D73B0">
      <w:pPr>
        <w:pStyle w:val="Endnote-Bullet-L2"/>
      </w:pPr>
      <w:r w:rsidRPr="00853596">
        <w:t xml:space="preserve">Why is it important to know about sex? </w:t>
      </w:r>
    </w:p>
    <w:p w14:paraId="73B49001" w14:textId="3382A740" w:rsidR="003640B4" w:rsidRDefault="003640B4" w:rsidP="007D73B0">
      <w:pPr>
        <w:pStyle w:val="Endnote-Bullet-L2"/>
      </w:pPr>
      <w:r w:rsidRPr="00853596">
        <w:t xml:space="preserve">Where could you get more information about sex? </w:t>
      </w:r>
    </w:p>
    <w:p w14:paraId="71057AE9" w14:textId="365717BE" w:rsidR="003640B4" w:rsidRDefault="003640B4" w:rsidP="007D73B0">
      <w:pPr>
        <w:pStyle w:val="Endnote-Bullet-L2"/>
      </w:pPr>
      <w:r w:rsidRPr="00853596">
        <w:t xml:space="preserve">How do you know that you are ready to have sex? </w:t>
      </w:r>
    </w:p>
    <w:p w14:paraId="7A4922EB" w14:textId="4636B787" w:rsidR="003640B4" w:rsidRDefault="003640B4" w:rsidP="007D73B0">
      <w:pPr>
        <w:pStyle w:val="Endnote-Bullet-L2"/>
      </w:pPr>
      <w:r w:rsidRPr="00853596">
        <w:t xml:space="preserve">What do you do if somebody asks you to have sex and you do not want to? </w:t>
      </w:r>
    </w:p>
    <w:p w14:paraId="62CD8F53" w14:textId="3C2B9846" w:rsidR="003640B4" w:rsidRDefault="003640B4" w:rsidP="007D73B0">
      <w:pPr>
        <w:pStyle w:val="Endnote-Bullet-L2"/>
      </w:pPr>
      <w:r w:rsidRPr="00853596">
        <w:t xml:space="preserve">What if they don’t listen? </w:t>
      </w:r>
    </w:p>
    <w:p w14:paraId="03004A08" w14:textId="6F7D9449" w:rsidR="003640B4" w:rsidRDefault="003640B4" w:rsidP="007D73B0">
      <w:pPr>
        <w:pStyle w:val="Endnote-Bullet-L2"/>
      </w:pPr>
      <w:r w:rsidRPr="00853596">
        <w:t xml:space="preserve">What do you know about STIs? </w:t>
      </w:r>
    </w:p>
    <w:p w14:paraId="3D24D771" w14:textId="3FAEB313" w:rsidR="003640B4" w:rsidRDefault="003640B4" w:rsidP="007D73B0">
      <w:pPr>
        <w:pStyle w:val="Endnote-Bullet-L2"/>
      </w:pPr>
      <w:r w:rsidRPr="00853596">
        <w:t xml:space="preserve">Do you use any protection against STI? </w:t>
      </w:r>
    </w:p>
    <w:p w14:paraId="4969EF48" w14:textId="2C18B1CD" w:rsidR="003640B4" w:rsidRDefault="003640B4" w:rsidP="007D73B0">
      <w:pPr>
        <w:pStyle w:val="Endnote-Bullet-L2"/>
      </w:pPr>
      <w:r w:rsidRPr="00853596">
        <w:t xml:space="preserve">What do you know about getting pregnant? </w:t>
      </w:r>
    </w:p>
    <w:p w14:paraId="000D76DA" w14:textId="4A69CD67" w:rsidR="003640B4" w:rsidRPr="00853596" w:rsidRDefault="003640B4" w:rsidP="007D73B0">
      <w:pPr>
        <w:pStyle w:val="Endnote-Bullet-L2"/>
      </w:pPr>
      <w:r w:rsidRPr="00853596">
        <w:t xml:space="preserve">Do you need any protection against getting pregnant? </w:t>
      </w:r>
    </w:p>
    <w:p w14:paraId="37F56A4F" w14:textId="0EFE426C" w:rsidR="003640B4" w:rsidRDefault="003640B4" w:rsidP="00A05F23">
      <w:pPr>
        <w:pStyle w:val="Endnote-Context"/>
      </w:pPr>
      <w:r>
        <w:t>Discussions about sexuality may vary depending on the patient’s level of IDD. In patients with mild IDD, provide consistent messages repeatedly. Correct or provide information about misconceptions. Help the patients weigh pros and cons together.</w:t>
      </w:r>
    </w:p>
    <w:p w14:paraId="5CFC33D0" w14:textId="77777777" w:rsidR="003640B4" w:rsidRPr="0066497C" w:rsidRDefault="003640B4" w:rsidP="00A05F23">
      <w:pPr>
        <w:pStyle w:val="Endnote-Context"/>
      </w:pPr>
      <w:r>
        <w:t xml:space="preserve">Check understanding, </w:t>
      </w:r>
      <w:r w:rsidRPr="0066497C">
        <w:t>reflect, be honest and upfront. In patients with moderate or more severe IDD, the discussion may be more with the caregiver, decision-making supporter, or substitute decision maker.</w:t>
      </w:r>
    </w:p>
    <w:p w14:paraId="525C879B" w14:textId="77777777" w:rsidR="003640B4" w:rsidRPr="0066497C" w:rsidRDefault="003640B4" w:rsidP="00A05F23">
      <w:pPr>
        <w:pStyle w:val="Endnote-Context"/>
      </w:pPr>
      <w:r w:rsidRPr="0066497C">
        <w:t>Ask male and female patients, their family, or other caregivers about the patient’s relationships, intimacy, and sexuality (</w:t>
      </w:r>
      <w:proofErr w:type="spellStart"/>
      <w:r w:rsidRPr="0066497C">
        <w:t>eg</w:t>
      </w:r>
      <w:proofErr w:type="spellEnd"/>
      <w:r w:rsidRPr="0066497C">
        <w:t>, sexual behavior, gender identity, sexual orientation, genetic risks).</w:t>
      </w:r>
    </w:p>
    <w:p w14:paraId="42CB255E" w14:textId="77777777" w:rsidR="003640B4" w:rsidRPr="0066497C" w:rsidRDefault="003640B4" w:rsidP="00A05F23">
      <w:pPr>
        <w:pStyle w:val="Endnote-Context"/>
      </w:pPr>
      <w:r w:rsidRPr="0066497C">
        <w:t>Ask about self-stimulation and masturbation, in part to indicate to patients and caregivers these can be important topics.</w:t>
      </w:r>
    </w:p>
    <w:p w14:paraId="06655BBF" w14:textId="77777777" w:rsidR="003640B4" w:rsidRPr="0066497C" w:rsidRDefault="003640B4" w:rsidP="00A05F23">
      <w:pPr>
        <w:pStyle w:val="Endnote-Context"/>
      </w:pPr>
      <w:r w:rsidRPr="0066497C">
        <w:t>Explore family plans to address unintended pregnancy. In females and males at risk, ask if the patient and/or substitute decision maker wish to discuss the pros and cons of birth control.</w:t>
      </w:r>
    </w:p>
    <w:p w14:paraId="0F96DA6D" w14:textId="3CB1791F" w:rsidR="003640B4" w:rsidRDefault="003640B4" w:rsidP="00A05F23">
      <w:pPr>
        <w:pStyle w:val="Endnote-Context"/>
      </w:pPr>
      <w:r w:rsidRPr="0066497C">
        <w:t>If necessary and available, refer for education and counseling services that are adapted to the</w:t>
      </w:r>
      <w:r>
        <w:t xml:space="preserve"> needs of people with IDD.</w:t>
      </w:r>
    </w:p>
  </w:endnote>
  <w:endnote w:id="23">
    <w:p w14:paraId="07B6A9AC" w14:textId="5E551B33" w:rsidR="003640B4" w:rsidRDefault="003640B4" w:rsidP="00837BF6">
      <w:pPr>
        <w:pStyle w:val="Endnote-H4"/>
      </w:pPr>
      <w:r>
        <w:rPr>
          <w:rStyle w:val="EndnoteReference"/>
        </w:rPr>
        <w:endnoteRef/>
      </w:r>
      <w:r>
        <w:t xml:space="preserve"> </w:t>
      </w:r>
      <w:r w:rsidRPr="00F07B30">
        <w:t>Musculoskeletal</w:t>
      </w:r>
      <w:r>
        <w:t xml:space="preserve"> </w:t>
      </w:r>
    </w:p>
    <w:p w14:paraId="0597D659" w14:textId="6607ECF0" w:rsidR="003640B4" w:rsidRDefault="003640B4" w:rsidP="00B120DE">
      <w:pPr>
        <w:pStyle w:val="Endnote-Bullet-L1"/>
      </w:pPr>
      <w:r>
        <w:t>A</w:t>
      </w:r>
      <w:r w:rsidRPr="004E6B20">
        <w:t xml:space="preserve">daptations </w:t>
      </w:r>
      <w:r>
        <w:t xml:space="preserve">for </w:t>
      </w:r>
      <w:r w:rsidRPr="004E6B20">
        <w:t>mobility and physical activity (</w:t>
      </w:r>
      <w:proofErr w:type="spellStart"/>
      <w:r w:rsidRPr="004E6B20">
        <w:t>eg</w:t>
      </w:r>
      <w:proofErr w:type="spellEnd"/>
      <w:r w:rsidRPr="004E6B20">
        <w:t>, wheelchair, modified seating, splints, orthotic devices and safety devices such as handrails</w:t>
      </w:r>
      <w:r>
        <w:t>)</w:t>
      </w:r>
      <w:r w:rsidR="00104177">
        <w:t>.</w:t>
      </w:r>
    </w:p>
    <w:p w14:paraId="2D06C3EA" w14:textId="5919963E" w:rsidR="003640B4" w:rsidRDefault="003640B4" w:rsidP="00B120DE">
      <w:pPr>
        <w:pStyle w:val="Endnote-Bullet-L1"/>
      </w:pPr>
      <w:r>
        <w:t>C</w:t>
      </w:r>
      <w:r w:rsidRPr="004E6B20">
        <w:t>orns, calluses, tinea pedis, and ingrown toenails, plus those at risk because of comorbid diabetes</w:t>
      </w:r>
      <w:r w:rsidR="00104177">
        <w:t>.</w:t>
      </w:r>
    </w:p>
    <w:p w14:paraId="7796A898" w14:textId="45A5A74F" w:rsidR="003640B4" w:rsidRDefault="003640B4" w:rsidP="00B120DE">
      <w:pPr>
        <w:pStyle w:val="Endnote-Bullet-L1"/>
      </w:pPr>
      <w:r w:rsidRPr="004E6B20">
        <w:t>Assess osteoporosis and fracture risk in all age groups</w:t>
      </w:r>
      <w:r w:rsidR="00104177">
        <w:t>.</w:t>
      </w:r>
      <w:r>
        <w:t xml:space="preserve"> </w:t>
      </w:r>
    </w:p>
    <w:p w14:paraId="3B85902D" w14:textId="5302021B" w:rsidR="003640B4" w:rsidRDefault="003640B4" w:rsidP="00941025">
      <w:pPr>
        <w:pStyle w:val="Endnote-Bullet-L1"/>
      </w:pPr>
      <w:r w:rsidRPr="007C42D0">
        <w:t>Assess calcium and vitamin D intake and supplement as needed unless contraindicated (</w:t>
      </w:r>
      <w:proofErr w:type="spellStart"/>
      <w:r w:rsidRPr="007C42D0">
        <w:t>eg</w:t>
      </w:r>
      <w:proofErr w:type="spellEnd"/>
      <w:r w:rsidRPr="007C42D0">
        <w:t>, Williams syndrome).</w:t>
      </w:r>
    </w:p>
    <w:p w14:paraId="0DF8D861" w14:textId="590EBDC5" w:rsidR="003640B4" w:rsidRDefault="003640B4" w:rsidP="00A05F23">
      <w:pPr>
        <w:pStyle w:val="Endnote-Context"/>
      </w:pPr>
      <w:r>
        <w:t>Osteoarthritis, scoliosis, contractures, spasticity and mobility problems may be a source of pain and behavior change.</w:t>
      </w:r>
    </w:p>
    <w:p w14:paraId="1E91C666" w14:textId="259326E7" w:rsidR="003640B4" w:rsidRPr="007A3793" w:rsidRDefault="003640B4" w:rsidP="00A05F23">
      <w:pPr>
        <w:pStyle w:val="Endnote-Context"/>
      </w:pPr>
      <w:r w:rsidRPr="007A3793">
        <w:t>Consult a physical or occupational therapist, physiatrist or foot care specialist regarding adaptations for better mobility and physical activity.</w:t>
      </w:r>
    </w:p>
    <w:p w14:paraId="597503A1" w14:textId="77777777" w:rsidR="003640B4" w:rsidRPr="007A3793" w:rsidRDefault="003640B4" w:rsidP="00A05F23">
      <w:pPr>
        <w:pStyle w:val="Endnote-Context"/>
      </w:pPr>
      <w:r w:rsidRPr="007A3793">
        <w:t>Consult a podiatrist, chiropodist or foot care nurse for the large number of foot care issues in adults with IDD.</w:t>
      </w:r>
    </w:p>
    <w:p w14:paraId="791929C0" w14:textId="0A69ABE0" w:rsidR="003640B4" w:rsidRPr="007A3793" w:rsidRDefault="003640B4" w:rsidP="00A05F23">
      <w:pPr>
        <w:pStyle w:val="Endnote-Context"/>
      </w:pPr>
      <w:r w:rsidRPr="007A3793">
        <w:t>Re osteoporosis: Do Bone Mineral Density testing in early adulthood if at high risk (</w:t>
      </w:r>
      <w:proofErr w:type="spellStart"/>
      <w:r w:rsidRPr="007A3793">
        <w:t>eg</w:t>
      </w:r>
      <w:proofErr w:type="spellEnd"/>
      <w:r w:rsidRPr="007A3793">
        <w:t>, Down syndrome, Prader-Willi, inactivity, low body weight, increased risk of falls – including nocturia, hypogonadism, hyperprolactinemia, anticonvulsant and other meds). Seek advice from a radiologist regarding alternative methods to assess risk of fragility fractures if the patient cannot be assessed using the usual nuclear BMD test, such as by assessing the patient’s forearm only. Be aware of concurrent medical conditions and medications in patients with IDD when considering osteoporotic treatment options (</w:t>
      </w:r>
      <w:proofErr w:type="spellStart"/>
      <w:r w:rsidRPr="007A3793">
        <w:t>eg</w:t>
      </w:r>
      <w:proofErr w:type="spellEnd"/>
      <w:r w:rsidRPr="007A3793">
        <w:t>, renal insufficiency or swallowing difficulty) and seek advice (</w:t>
      </w:r>
      <w:proofErr w:type="spellStart"/>
      <w:r w:rsidRPr="007A3793">
        <w:t>eg</w:t>
      </w:r>
      <w:proofErr w:type="spellEnd"/>
      <w:r w:rsidRPr="007A3793">
        <w:t>, from an endocrinologist or pharmacist).</w:t>
      </w:r>
    </w:p>
    <w:p w14:paraId="349E5458" w14:textId="46CB6669" w:rsidR="003640B4" w:rsidRPr="00422A1F" w:rsidRDefault="003640B4" w:rsidP="00A05F23">
      <w:pPr>
        <w:pStyle w:val="Endnote-Context"/>
      </w:pPr>
      <w:r w:rsidRPr="00422A1F">
        <w:t>Re fall risk: Consult a physical or occupational therapist for a fall assessment, including living area, mobility aids, medication side effects (</w:t>
      </w:r>
      <w:proofErr w:type="spellStart"/>
      <w:r w:rsidRPr="00422A1F">
        <w:t>eg</w:t>
      </w:r>
      <w:proofErr w:type="spellEnd"/>
      <w:r w:rsidRPr="00422A1F">
        <w:t>, anticonvulsants, antidepressants, antihypertensives, benzodiazepines, narcotics, neuroleptics).</w:t>
      </w:r>
    </w:p>
  </w:endnote>
  <w:endnote w:id="24">
    <w:p w14:paraId="66F77F95" w14:textId="60E6911A" w:rsidR="003640B4" w:rsidRDefault="003640B4" w:rsidP="00837BF6">
      <w:pPr>
        <w:pStyle w:val="Endnote-H4"/>
      </w:pPr>
      <w:r>
        <w:rPr>
          <w:rStyle w:val="EndnoteReference"/>
        </w:rPr>
        <w:endnoteRef/>
      </w:r>
      <w:r>
        <w:t xml:space="preserve"> </w:t>
      </w:r>
      <w:r w:rsidRPr="00F07B30">
        <w:t>Neurological</w:t>
      </w:r>
      <w:r>
        <w:t xml:space="preserve"> </w:t>
      </w:r>
    </w:p>
    <w:p w14:paraId="3FE65AA2" w14:textId="1D44EC13" w:rsidR="003640B4" w:rsidRDefault="003640B4" w:rsidP="00B120DE">
      <w:pPr>
        <w:pStyle w:val="Endnote-Bullet-L1"/>
      </w:pPr>
      <w:r w:rsidRPr="007C42D0">
        <w:t>Review seizure medication regularly (</w:t>
      </w:r>
      <w:proofErr w:type="spellStart"/>
      <w:r w:rsidRPr="007C42D0">
        <w:t>eg</w:t>
      </w:r>
      <w:proofErr w:type="spellEnd"/>
      <w:r w:rsidRPr="007C42D0">
        <w:t xml:space="preserve">, every 3-6 months) and consider giving an epilepsy review chart to the patient/caregiver for the next periodic review, </w:t>
      </w:r>
      <w:proofErr w:type="spellStart"/>
      <w:r w:rsidRPr="007C42D0">
        <w:t>eg</w:t>
      </w:r>
      <w:proofErr w:type="spellEnd"/>
      <w:r w:rsidRPr="007C42D0">
        <w:t>, the Seizure Record to Establish Baseline and the Monitoring Chart: Seizures Yearly Frequency, forms which are among the group listed on the link below.</w:t>
      </w:r>
      <w:r>
        <w:t xml:space="preserve"> </w:t>
      </w:r>
    </w:p>
    <w:p w14:paraId="032FDB16" w14:textId="337D3966" w:rsidR="003640B4" w:rsidRDefault="003640B4" w:rsidP="00B120DE">
      <w:pPr>
        <w:pStyle w:val="Endnote-Bullet-L1"/>
      </w:pPr>
      <w:r>
        <w:t xml:space="preserve">Consider specialist consultation for epilepsy management. </w:t>
      </w:r>
    </w:p>
    <w:p w14:paraId="5DF4937D" w14:textId="0605DE75" w:rsidR="003640B4" w:rsidRDefault="003640B4" w:rsidP="00B120DE">
      <w:pPr>
        <w:pStyle w:val="Endnote-Bullet-L1"/>
      </w:pPr>
      <w:r>
        <w:t>Make an epilepsy health action plan involving patients, family and other caregivers. For urgent situations, recommend patients and caregivers have a seizure action plan.</w:t>
      </w:r>
    </w:p>
    <w:p w14:paraId="0ACAFA9B" w14:textId="23C767FA" w:rsidR="003640B4" w:rsidRDefault="003640B4" w:rsidP="00B120DE">
      <w:pPr>
        <w:pStyle w:val="Endnote-Bullet-L1"/>
      </w:pPr>
      <w:r>
        <w:t>Document</w:t>
      </w:r>
      <w:r w:rsidRPr="007C42D0">
        <w:t xml:space="preserve"> any general or focal/localizing neurological symptoms</w:t>
      </w:r>
      <w:r>
        <w:t xml:space="preserve"> or signs, new or old.</w:t>
      </w:r>
      <w:r w:rsidRPr="007C42D0">
        <w:t xml:space="preserve"> </w:t>
      </w:r>
    </w:p>
    <w:p w14:paraId="289539D4" w14:textId="331B7D79" w:rsidR="003640B4" w:rsidRDefault="003640B4" w:rsidP="00A05F23">
      <w:pPr>
        <w:pStyle w:val="Endnote-Context"/>
      </w:pPr>
      <w:r>
        <w:t>Seizure disorders are more common than in the general population, often difficult to recognize, evaluate and control. It can have a pervasive impact on the lives of affected adults and their caregivers.</w:t>
      </w:r>
    </w:p>
    <w:p w14:paraId="7FD840D2" w14:textId="77777777" w:rsidR="003640B4" w:rsidRDefault="003640B4" w:rsidP="00A05F23">
      <w:pPr>
        <w:pStyle w:val="Endnote-Context"/>
      </w:pPr>
      <w:r w:rsidRPr="007A3793">
        <w:t>Context</w:t>
      </w:r>
      <w:r>
        <w:t xml:space="preserve"> re documenting existing or new symptoms or signs</w:t>
      </w:r>
      <w:r w:rsidRPr="007A3793">
        <w:t xml:space="preserve">: </w:t>
      </w:r>
      <w:r>
        <w:t>Even symptoms that are long-</w:t>
      </w:r>
      <w:r w:rsidRPr="000B0EB6">
        <w:t>standing or present from birth but should be documented to allow comparison with potential future changes or that might be significant in terms of as-yet-undetermined etiology.</w:t>
      </w:r>
    </w:p>
    <w:p w14:paraId="5A1F0298" w14:textId="0C432812" w:rsidR="003640B4" w:rsidRDefault="004A2825" w:rsidP="00A14424">
      <w:pPr>
        <w:pStyle w:val="Endnote-H5"/>
      </w:pPr>
      <w:r>
        <w:t>PRACTICE TOOLS</w:t>
      </w:r>
    </w:p>
    <w:p w14:paraId="5A9A0897" w14:textId="3BDC8E86" w:rsidR="003640B4" w:rsidRDefault="004D4F03" w:rsidP="0066497C">
      <w:pPr>
        <w:pStyle w:val="Endnote-Link"/>
      </w:pPr>
      <w:hyperlink r:id="rId21" w:history="1">
        <w:r w:rsidR="003640B4" w:rsidRPr="00D93E1C">
          <w:rPr>
            <w:rStyle w:val="Hyperlink"/>
            <w:lang w:val="en-US"/>
          </w:rPr>
          <w:t>Epilepsy monitoring charts, action plans and information sheets</w:t>
        </w:r>
      </w:hyperlink>
    </w:p>
  </w:endnote>
  <w:endnote w:id="25">
    <w:p w14:paraId="0DC87ACC" w14:textId="4947FCF6" w:rsidR="003640B4" w:rsidRDefault="003640B4" w:rsidP="0066497C">
      <w:pPr>
        <w:pStyle w:val="Endnote-H4"/>
      </w:pPr>
      <w:r>
        <w:rPr>
          <w:rStyle w:val="EndnoteReference"/>
        </w:rPr>
        <w:endnoteRef/>
      </w:r>
      <w:r>
        <w:t xml:space="preserve"> </w:t>
      </w:r>
      <w:r w:rsidRPr="00F42CD8">
        <w:t>Endocrine</w:t>
      </w:r>
      <w:r>
        <w:t xml:space="preserve"> </w:t>
      </w:r>
    </w:p>
    <w:p w14:paraId="5F1B98B5" w14:textId="7F1052EB" w:rsidR="003640B4" w:rsidRDefault="003640B4" w:rsidP="0066497C">
      <w:pPr>
        <w:pStyle w:val="Endnote-Bullet-L1"/>
      </w:pPr>
      <w:r>
        <w:t xml:space="preserve">Symptoms of thyroid dysfunction in </w:t>
      </w:r>
      <w:r w:rsidRPr="00C12172">
        <w:t>in patients with elevated risk (</w:t>
      </w:r>
      <w:proofErr w:type="spellStart"/>
      <w:r w:rsidRPr="00C12172">
        <w:t>eg</w:t>
      </w:r>
      <w:proofErr w:type="spellEnd"/>
      <w:r w:rsidRPr="00C12172">
        <w:t xml:space="preserve">, people with Down syndrome) or when changes in </w:t>
      </w:r>
      <w:proofErr w:type="spellStart"/>
      <w:r w:rsidRPr="00C12172">
        <w:t>behaviour</w:t>
      </w:r>
      <w:proofErr w:type="spellEnd"/>
      <w:r w:rsidRPr="00C12172">
        <w:t xml:space="preserve"> or adaptive functioning are noted</w:t>
      </w:r>
      <w:r w:rsidR="00104177">
        <w:t>.</w:t>
      </w:r>
    </w:p>
    <w:p w14:paraId="40BE4539" w14:textId="3049FDAE" w:rsidR="003640B4" w:rsidRDefault="003640B4" w:rsidP="0066497C">
      <w:pPr>
        <w:pStyle w:val="Endnote-Bullet-L1"/>
      </w:pPr>
      <w:r>
        <w:t>Symptoms of diabetes</w:t>
      </w:r>
      <w:r w:rsidR="00104177">
        <w:t>.</w:t>
      </w:r>
    </w:p>
    <w:p w14:paraId="5E728401" w14:textId="2195BCE0" w:rsidR="003640B4" w:rsidRDefault="003640B4" w:rsidP="0066497C">
      <w:pPr>
        <w:pStyle w:val="Endnote-Bullet-L1"/>
      </w:pPr>
      <w:r>
        <w:t xml:space="preserve">If diabetic/prediabetic, have the </w:t>
      </w:r>
      <w:r w:rsidRPr="00C12172">
        <w:t>patients, family and other caregivers</w:t>
      </w:r>
      <w:r>
        <w:t xml:space="preserve"> been offered diabetic education</w:t>
      </w:r>
      <w:r w:rsidRPr="00C12172">
        <w:t xml:space="preserve"> that is adapted for people with IDD</w:t>
      </w:r>
      <w:r w:rsidR="00104177">
        <w:t>.</w:t>
      </w:r>
    </w:p>
    <w:p w14:paraId="110508B2" w14:textId="25AF4924" w:rsidR="003640B4" w:rsidRPr="007A3793" w:rsidRDefault="003640B4" w:rsidP="00A05F23">
      <w:pPr>
        <w:pStyle w:val="Endnote-Context"/>
      </w:pPr>
      <w:r w:rsidRPr="007A3793">
        <w:t>Test annually for thyroid function in patients with elevated risk (</w:t>
      </w:r>
      <w:proofErr w:type="spellStart"/>
      <w:r w:rsidRPr="007A3793">
        <w:t>eg</w:t>
      </w:r>
      <w:proofErr w:type="spellEnd"/>
      <w:r w:rsidRPr="007A3793">
        <w:t xml:space="preserve">, people with Down syndrome) or when changes in </w:t>
      </w:r>
      <w:proofErr w:type="spellStart"/>
      <w:r w:rsidRPr="007A3793">
        <w:t>behaviour</w:t>
      </w:r>
      <w:proofErr w:type="spellEnd"/>
      <w:r w:rsidRPr="007A3793">
        <w:t xml:space="preserve"> or adaptive functioning are noted.</w:t>
      </w:r>
    </w:p>
    <w:p w14:paraId="092B5E79" w14:textId="77777777" w:rsidR="003640B4" w:rsidRPr="007A3793" w:rsidRDefault="003640B4" w:rsidP="00492B82">
      <w:pPr>
        <w:pStyle w:val="Endnote-Context"/>
      </w:pPr>
      <w:r w:rsidRPr="007A3793">
        <w:t>Screen for type 2 diabetes at an earlier age than is recommended for the general population.</w:t>
      </w:r>
    </w:p>
    <w:p w14:paraId="50E320BA" w14:textId="26339941" w:rsidR="003640B4" w:rsidRDefault="003640B4" w:rsidP="00492B82">
      <w:pPr>
        <w:pStyle w:val="Endnote-Context"/>
      </w:pPr>
      <w:r w:rsidRPr="007A3793">
        <w:t>Provide diabetes education to patients, family and other caregivers that is adapted for people with IDD.</w:t>
      </w:r>
    </w:p>
  </w:endnote>
  <w:endnote w:id="26">
    <w:p w14:paraId="16EA1074" w14:textId="7792DF25" w:rsidR="003640B4" w:rsidRDefault="003640B4" w:rsidP="004F22E2">
      <w:pPr>
        <w:pStyle w:val="Endnote-H4"/>
      </w:pPr>
      <w:r>
        <w:rPr>
          <w:rStyle w:val="EndnoteReference"/>
        </w:rPr>
        <w:endnoteRef/>
      </w:r>
      <w:r>
        <w:t xml:space="preserve"> </w:t>
      </w:r>
      <w:r w:rsidRPr="00F42CD8">
        <w:t>Infections</w:t>
      </w:r>
    </w:p>
    <w:p w14:paraId="2C8601CA" w14:textId="0F2B608B" w:rsidR="003640B4" w:rsidRPr="00C12172" w:rsidRDefault="003640B4" w:rsidP="004F22E2">
      <w:pPr>
        <w:pStyle w:val="Endnote-Bullet-L1"/>
      </w:pPr>
      <w:r w:rsidRPr="00C12172">
        <w:t>Review immunization status</w:t>
      </w:r>
    </w:p>
    <w:p w14:paraId="2BFF7F72" w14:textId="7E8C764F" w:rsidR="003640B4" w:rsidRPr="00C12172" w:rsidRDefault="003640B4" w:rsidP="004F22E2">
      <w:pPr>
        <w:pStyle w:val="Endnote-Bullet-L1"/>
      </w:pPr>
      <w:r w:rsidRPr="00C12172">
        <w:t>Review COVID experience</w:t>
      </w:r>
    </w:p>
    <w:p w14:paraId="517DF3ED" w14:textId="09105E19" w:rsidR="003640B4" w:rsidRPr="007A3793" w:rsidRDefault="003640B4" w:rsidP="00A05F23">
      <w:pPr>
        <w:pStyle w:val="Endnote-Context"/>
      </w:pPr>
      <w:r w:rsidRPr="007A3793">
        <w:t>Adults with IDD suffered excess morbidity, including mental health problems, and mortality during COVID</w:t>
      </w:r>
      <w:r w:rsidR="008B332C">
        <w:t>.</w:t>
      </w:r>
    </w:p>
    <w:p w14:paraId="6803A96E" w14:textId="77777777" w:rsidR="003640B4" w:rsidRPr="007A3793" w:rsidRDefault="003640B4" w:rsidP="00A05F23">
      <w:pPr>
        <w:pStyle w:val="Endnote-Context"/>
      </w:pPr>
      <w:r w:rsidRPr="007A3793">
        <w:t>Include patients with IDD in routine immunization programs targeting high-risk populations for influenza and S. pneumoniae infections.</w:t>
      </w:r>
    </w:p>
    <w:p w14:paraId="6F87D519" w14:textId="77777777" w:rsidR="003640B4" w:rsidRPr="007A3793" w:rsidRDefault="003640B4" w:rsidP="00A05F23">
      <w:pPr>
        <w:pStyle w:val="Endnote-Context"/>
      </w:pPr>
      <w:r w:rsidRPr="007A3793">
        <w:t>Offer hepatitis A and B immunization to all at-risk patients, such as those who require long term, potentially hepatotoxic medications or who live in group settings.</w:t>
      </w:r>
    </w:p>
    <w:p w14:paraId="49070EC0" w14:textId="77777777" w:rsidR="003640B4" w:rsidRPr="007A3793" w:rsidRDefault="003640B4" w:rsidP="00A05F23">
      <w:pPr>
        <w:pStyle w:val="Endnote-Context"/>
      </w:pPr>
      <w:r w:rsidRPr="007A3793">
        <w:t>Screen patients for infectious disease according to guidelines for high-risk populations and other special risk factors (</w:t>
      </w:r>
      <w:proofErr w:type="spellStart"/>
      <w:r w:rsidRPr="007A3793">
        <w:t>eg</w:t>
      </w:r>
      <w:proofErr w:type="spellEnd"/>
      <w:r w:rsidRPr="007A3793">
        <w:t>, group residence, sexual practices, IV drug use).</w:t>
      </w:r>
    </w:p>
    <w:p w14:paraId="2ECDC088" w14:textId="77777777" w:rsidR="003640B4" w:rsidRPr="007A3793" w:rsidRDefault="003640B4" w:rsidP="00A05F23">
      <w:pPr>
        <w:pStyle w:val="Endnote-Context"/>
      </w:pPr>
      <w:r w:rsidRPr="007A3793">
        <w:t>Reduce risk factors for invasive lung infections, such as by supporting safe feeding practices, positioning to enable secretion clearance, and respiratory therapy.</w:t>
      </w:r>
    </w:p>
    <w:p w14:paraId="170A7D28" w14:textId="391C2078" w:rsidR="003640B4" w:rsidRDefault="003640B4" w:rsidP="00A05F23">
      <w:pPr>
        <w:pStyle w:val="Endnote-Context"/>
      </w:pPr>
      <w:r w:rsidRPr="007A3793">
        <w:t>If a patient manifests changes in behavior or mental status, perform a head-to-toe examination to detect infection. Alert caregivers to signs and symptoms of infection.</w:t>
      </w:r>
    </w:p>
  </w:endnote>
  <w:endnote w:id="27">
    <w:p w14:paraId="511C1E23" w14:textId="614120E3" w:rsidR="003640B4" w:rsidRDefault="003640B4" w:rsidP="004F22E2">
      <w:pPr>
        <w:pStyle w:val="Endnote-H4"/>
      </w:pPr>
      <w:r>
        <w:rPr>
          <w:rStyle w:val="EndnoteReference"/>
        </w:rPr>
        <w:endnoteRef/>
      </w:r>
      <w:r>
        <w:t xml:space="preserve"> </w:t>
      </w:r>
      <w:r w:rsidRPr="00F42CD8">
        <w:t>Cancer screening</w:t>
      </w:r>
      <w:r>
        <w:t xml:space="preserve"> </w:t>
      </w:r>
    </w:p>
    <w:p w14:paraId="3EBD0A8B" w14:textId="48BB8E06" w:rsidR="003640B4" w:rsidRDefault="003640B4" w:rsidP="00C2226B">
      <w:pPr>
        <w:pStyle w:val="Endnote-Bullet-L1"/>
      </w:pPr>
      <w:r>
        <w:t>Proactively obtain information on family history of cancer and review annually.</w:t>
      </w:r>
    </w:p>
    <w:p w14:paraId="754A4A90" w14:textId="72B4A430" w:rsidR="003640B4" w:rsidRDefault="003640B4" w:rsidP="00C2226B">
      <w:pPr>
        <w:pStyle w:val="Endnote-Bullet-L1"/>
      </w:pPr>
      <w:r>
        <w:t>Use clinical tools adapted for people with IDD to promote education and uptake of cancer screening tests.</w:t>
      </w:r>
    </w:p>
    <w:p w14:paraId="7054BD89" w14:textId="1659CAC2" w:rsidR="003640B4" w:rsidRDefault="003640B4" w:rsidP="00941025">
      <w:pPr>
        <w:pStyle w:val="Endnote-Bullet-L1"/>
      </w:pPr>
      <w:r>
        <w:t>Discuss concerns regarding cancer and symptom management with family and other caregivers and provide information regarding management and palliative care.</w:t>
      </w:r>
    </w:p>
  </w:endnote>
  <w:endnote w:id="28">
    <w:p w14:paraId="3325AD1B" w14:textId="084B68B3" w:rsidR="003640B4" w:rsidRDefault="003640B4" w:rsidP="00C2226B">
      <w:pPr>
        <w:pStyle w:val="Endnote-H4"/>
      </w:pPr>
      <w:r>
        <w:rPr>
          <w:rStyle w:val="EndnoteReference"/>
        </w:rPr>
        <w:endnoteRef/>
      </w:r>
      <w:r>
        <w:t xml:space="preserve"> </w:t>
      </w:r>
      <w:r w:rsidRPr="00115573">
        <w:t>Mental Health</w:t>
      </w:r>
    </w:p>
    <w:p w14:paraId="476EAC11" w14:textId="06E98D15" w:rsidR="003640B4" w:rsidRPr="007A3793" w:rsidRDefault="003640B4" w:rsidP="00C2226B">
      <w:pPr>
        <w:pStyle w:val="Endnote-Bullet-L1"/>
      </w:pPr>
      <w:r w:rsidRPr="007A3793">
        <w:t>Screen for possible psychiatric disorders by looking for changes from baseline in mental state and behavior</w:t>
      </w:r>
      <w:r>
        <w:t>.</w:t>
      </w:r>
    </w:p>
    <w:p w14:paraId="7BCBD80C" w14:textId="563F75F7" w:rsidR="003640B4" w:rsidRDefault="003640B4" w:rsidP="00C2226B">
      <w:pPr>
        <w:pStyle w:val="Endnote-Bullet-L1"/>
      </w:pPr>
      <w:r>
        <w:t xml:space="preserve">Ask about mood disorders; consider the following questions: </w:t>
      </w:r>
    </w:p>
    <w:p w14:paraId="562C3653" w14:textId="5C66A697" w:rsidR="003640B4" w:rsidRPr="007A3793" w:rsidRDefault="003640B4" w:rsidP="00C2226B">
      <w:pPr>
        <w:pStyle w:val="Endnote-Bullet-L2"/>
      </w:pPr>
      <w:r w:rsidRPr="007A3793">
        <w:t>How is your mood?</w:t>
      </w:r>
    </w:p>
    <w:p w14:paraId="792CF2A1" w14:textId="6EBCA11D" w:rsidR="003640B4" w:rsidRPr="007A3793" w:rsidRDefault="003640B4" w:rsidP="00C2226B">
      <w:pPr>
        <w:pStyle w:val="Endnote-Bullet-L2"/>
      </w:pPr>
      <w:r w:rsidRPr="007A3793">
        <w:t>Do you sleep well?</w:t>
      </w:r>
    </w:p>
    <w:p w14:paraId="4C64FA95" w14:textId="52A97D04" w:rsidR="003640B4" w:rsidRPr="007A3793" w:rsidRDefault="003640B4" w:rsidP="00C2226B">
      <w:pPr>
        <w:pStyle w:val="Endnote-Bullet-L2"/>
      </w:pPr>
      <w:r w:rsidRPr="007A3793">
        <w:t xml:space="preserve">What do you like to do for fun? </w:t>
      </w:r>
    </w:p>
    <w:p w14:paraId="58EDF5C7" w14:textId="3B7CC2FE" w:rsidR="003640B4" w:rsidRPr="007A3793" w:rsidRDefault="003640B4" w:rsidP="00C2226B">
      <w:pPr>
        <w:pStyle w:val="Endnote-Bullet-L2"/>
      </w:pPr>
      <w:r w:rsidRPr="007A3793">
        <w:t xml:space="preserve">Are you having fun? </w:t>
      </w:r>
    </w:p>
    <w:p w14:paraId="3BFAB05B" w14:textId="1A241694" w:rsidR="003640B4" w:rsidRPr="007A3793" w:rsidRDefault="003640B4" w:rsidP="00C2226B">
      <w:pPr>
        <w:pStyle w:val="Endnote-Bullet-L2"/>
      </w:pPr>
      <w:r w:rsidRPr="007A3793">
        <w:t xml:space="preserve">Have you been feeling sad? </w:t>
      </w:r>
    </w:p>
    <w:p w14:paraId="1B4C5D77" w14:textId="3C785421" w:rsidR="003640B4" w:rsidRPr="007A3793" w:rsidRDefault="003640B4" w:rsidP="00C2226B">
      <w:pPr>
        <w:pStyle w:val="Endnote-Bullet-L2"/>
      </w:pPr>
      <w:r w:rsidRPr="007A3793">
        <w:t xml:space="preserve">Do you have worries? </w:t>
      </w:r>
    </w:p>
    <w:p w14:paraId="5BAA5FDE" w14:textId="12853B35" w:rsidR="003640B4" w:rsidRPr="007A3793" w:rsidRDefault="003640B4" w:rsidP="00C2226B">
      <w:pPr>
        <w:pStyle w:val="Endnote-Bullet-L2"/>
      </w:pPr>
      <w:r w:rsidRPr="007A3793">
        <w:t xml:space="preserve">Do you feel nervous? </w:t>
      </w:r>
    </w:p>
    <w:p w14:paraId="322CA5FC" w14:textId="6DF14131" w:rsidR="003640B4" w:rsidRDefault="003640B4" w:rsidP="00C2226B">
      <w:pPr>
        <w:pStyle w:val="Endnote-Bullet-L2"/>
      </w:pPr>
      <w:r w:rsidRPr="007A3793">
        <w:t xml:space="preserve">Do you worry about things every day? </w:t>
      </w:r>
    </w:p>
    <w:p w14:paraId="75E88252" w14:textId="62DBC755" w:rsidR="003640B4" w:rsidRDefault="003640B4" w:rsidP="00C2226B">
      <w:pPr>
        <w:pStyle w:val="Endnote-Bullet-L1"/>
      </w:pPr>
      <w:r>
        <w:t>Review regularly (</w:t>
      </w:r>
      <w:proofErr w:type="spellStart"/>
      <w:r>
        <w:t>eg</w:t>
      </w:r>
      <w:proofErr w:type="spellEnd"/>
      <w:r>
        <w:t>, every 3 months) the rationale and use of any prescribed psychotropic medications.</w:t>
      </w:r>
    </w:p>
    <w:p w14:paraId="73DC7275" w14:textId="38AF2DFB" w:rsidR="003640B4" w:rsidRPr="007A3793" w:rsidRDefault="003640B4" w:rsidP="00C2226B">
      <w:pPr>
        <w:pStyle w:val="Endnote-Bullet-L1"/>
      </w:pPr>
      <w:r>
        <w:t>Monitor adverse drug reactions and unwanted effects of antipsychotic medications: CNS effects (</w:t>
      </w:r>
      <w:proofErr w:type="spellStart"/>
      <w:r>
        <w:t>eg</w:t>
      </w:r>
      <w:proofErr w:type="spellEnd"/>
      <w:r>
        <w:t>, sedation, behavioral disturbance), extrapyramidal symptoms (</w:t>
      </w:r>
      <w:proofErr w:type="spellStart"/>
      <w:r>
        <w:t>eg</w:t>
      </w:r>
      <w:proofErr w:type="spellEnd"/>
      <w:r>
        <w:t>, Parkinsonism, akathisia, tardive dyskinesia), anticholinergic effects (</w:t>
      </w:r>
      <w:proofErr w:type="spellStart"/>
      <w:r>
        <w:t>eg</w:t>
      </w:r>
      <w:proofErr w:type="spellEnd"/>
      <w:r>
        <w:t>, swallowing difficulties, bowel dysfunction), cardiovascular effects (</w:t>
      </w:r>
      <w:proofErr w:type="spellStart"/>
      <w:r>
        <w:t>eg</w:t>
      </w:r>
      <w:proofErr w:type="spellEnd"/>
      <w:r>
        <w:t>, orthostatic hypotension, tachycardia), and endocrine effects (</w:t>
      </w:r>
      <w:proofErr w:type="spellStart"/>
      <w:r>
        <w:t>eg</w:t>
      </w:r>
      <w:proofErr w:type="spellEnd"/>
      <w:r>
        <w:t>, metabolic syndrome, sexual dysfunction).</w:t>
      </w:r>
    </w:p>
    <w:p w14:paraId="3F92CAD6" w14:textId="19E3FB78" w:rsidR="003640B4" w:rsidRDefault="003640B4" w:rsidP="00A05F23">
      <w:pPr>
        <w:pStyle w:val="Endnote-Context"/>
      </w:pPr>
      <w:r>
        <w:t>Use visual aids as well as words (</w:t>
      </w:r>
      <w:proofErr w:type="spellStart"/>
      <w:r>
        <w:t>eg</w:t>
      </w:r>
      <w:proofErr w:type="spellEnd"/>
      <w:r>
        <w:t xml:space="preserve">, </w:t>
      </w:r>
      <w:hyperlink r:id="rId22" w:history="1">
        <w:proofErr w:type="spellStart"/>
        <w:r w:rsidRPr="00AD4EE3">
          <w:rPr>
            <w:rStyle w:val="Hyperlink"/>
          </w:rPr>
          <w:t>EasyHealth</w:t>
        </w:r>
        <w:proofErr w:type="spellEnd"/>
      </w:hyperlink>
      <w:r>
        <w:t xml:space="preserve"> easily</w:t>
      </w:r>
      <w:r w:rsidR="00F31E7D">
        <w:t xml:space="preserve"> </w:t>
      </w:r>
      <w:r>
        <w:t>read leaflets).</w:t>
      </w:r>
    </w:p>
    <w:p w14:paraId="7D7C39F2" w14:textId="77777777" w:rsidR="003640B4" w:rsidRDefault="003640B4" w:rsidP="00A05F23">
      <w:pPr>
        <w:pStyle w:val="Endnote-Context"/>
      </w:pPr>
      <w:r w:rsidRPr="00071E49">
        <w:t>Seek assistance in monitoring target symptoms: use monitoring charts (</w:t>
      </w:r>
      <w:proofErr w:type="spellStart"/>
      <w:r w:rsidRPr="00071E49">
        <w:t>eg</w:t>
      </w:r>
      <w:proofErr w:type="spellEnd"/>
      <w:r w:rsidRPr="00071E49">
        <w:t xml:space="preserve">, </w:t>
      </w:r>
      <w:hyperlink r:id="rId23" w:history="1">
        <w:r w:rsidRPr="003540DB">
          <w:rPr>
            <w:rStyle w:val="Hyperlink"/>
          </w:rPr>
          <w:t>Direct Observation System</w:t>
        </w:r>
      </w:hyperlink>
      <w:r w:rsidRPr="00071E49">
        <w:t xml:space="preserve"> or </w:t>
      </w:r>
      <w:hyperlink r:id="rId24" w:history="1">
        <w:r w:rsidRPr="003540DB">
          <w:rPr>
            <w:rStyle w:val="Hyperlink"/>
          </w:rPr>
          <w:t>Antecedent-</w:t>
        </w:r>
        <w:proofErr w:type="spellStart"/>
        <w:r w:rsidRPr="003540DB">
          <w:rPr>
            <w:rStyle w:val="Hyperlink"/>
          </w:rPr>
          <w:t>Behaviour</w:t>
        </w:r>
        <w:proofErr w:type="spellEnd"/>
        <w:r w:rsidRPr="003540DB">
          <w:rPr>
            <w:rStyle w:val="Hyperlink"/>
          </w:rPr>
          <w:t>-Consequence - ABC chart</w:t>
        </w:r>
      </w:hyperlink>
      <w:r w:rsidRPr="00071E49">
        <w:t>).</w:t>
      </w:r>
    </w:p>
    <w:p w14:paraId="10CF1883" w14:textId="44D28F39" w:rsidR="003640B4" w:rsidRDefault="004A2825" w:rsidP="00F8368D">
      <w:pPr>
        <w:pStyle w:val="Endnote-H5"/>
      </w:pPr>
      <w:r>
        <w:t>PRACTICE TOOLS</w:t>
      </w:r>
    </w:p>
    <w:p w14:paraId="45283C0A" w14:textId="77777777" w:rsidR="003640B4" w:rsidRPr="00D93E1C" w:rsidRDefault="004D4F03" w:rsidP="009575F0">
      <w:pPr>
        <w:pStyle w:val="Endnote-Link"/>
        <w:rPr>
          <w:u w:val="single"/>
          <w:lang w:val="en-US"/>
        </w:rPr>
      </w:pPr>
      <w:hyperlink r:id="rId25" w:history="1">
        <w:r w:rsidR="006C0A38" w:rsidRPr="00D93E1C">
          <w:rPr>
            <w:rStyle w:val="Hyperlink"/>
            <w:lang w:val="en-US"/>
          </w:rPr>
          <w:t xml:space="preserve">Help with emotional and </w:t>
        </w:r>
        <w:proofErr w:type="spellStart"/>
        <w:r w:rsidR="006C0A38" w:rsidRPr="00D93E1C">
          <w:rPr>
            <w:rStyle w:val="Hyperlink"/>
            <w:lang w:val="en-US"/>
          </w:rPr>
          <w:t>behavioural</w:t>
        </w:r>
        <w:proofErr w:type="spellEnd"/>
        <w:r w:rsidR="006C0A38" w:rsidRPr="00D93E1C">
          <w:rPr>
            <w:rStyle w:val="Hyperlink"/>
            <w:lang w:val="en-US"/>
          </w:rPr>
          <w:t xml:space="preserve"> concerns</w:t>
        </w:r>
      </w:hyperlink>
    </w:p>
    <w:p w14:paraId="33941969" w14:textId="77777777" w:rsidR="003640B4" w:rsidRPr="00D93E1C" w:rsidRDefault="004D4F03" w:rsidP="009575F0">
      <w:pPr>
        <w:pStyle w:val="Endnote-Link"/>
        <w:rPr>
          <w:u w:val="single"/>
          <w:lang w:val="en-US"/>
        </w:rPr>
      </w:pPr>
      <w:hyperlink r:id="rId26" w:history="1">
        <w:r w:rsidR="003640B4" w:rsidRPr="00D93E1C">
          <w:rPr>
            <w:rStyle w:val="Hyperlink"/>
            <w:lang w:val="en-US"/>
          </w:rPr>
          <w:t>Other Mental Health tools and information sheets</w:t>
        </w:r>
      </w:hyperlink>
    </w:p>
    <w:p w14:paraId="2CCEB57C" w14:textId="77777777" w:rsidR="006C0A38" w:rsidRPr="006C0A38" w:rsidRDefault="006C0A38" w:rsidP="006C0A38">
      <w:pPr>
        <w:pStyle w:val="Endnote-Link"/>
        <w:rPr>
          <w:b/>
          <w:bCs/>
          <w:lang w:val="en-US"/>
        </w:rPr>
      </w:pPr>
      <w:r w:rsidRPr="006C0A38">
        <w:rPr>
          <w:b/>
          <w:bCs/>
          <w:lang w:val="en-US"/>
        </w:rPr>
        <w:t>Depression and anxiety self-report and informant questionnaires developed for people with IDD:</w:t>
      </w:r>
    </w:p>
    <w:p w14:paraId="11150E52" w14:textId="77777777" w:rsidR="006C0A38" w:rsidRPr="00D93E1C" w:rsidRDefault="004D4F03" w:rsidP="006C0A38">
      <w:pPr>
        <w:pStyle w:val="Endnote-Link"/>
        <w:spacing w:before="0"/>
        <w:rPr>
          <w:lang w:val="en-US"/>
        </w:rPr>
      </w:pPr>
      <w:hyperlink r:id="rId27" w:history="1">
        <w:r w:rsidR="003640B4" w:rsidRPr="00D93E1C">
          <w:rPr>
            <w:rStyle w:val="Hyperlink"/>
            <w:lang w:val="en-US"/>
          </w:rPr>
          <w:t>Glasgow Depression Scale for People with a Learning Disability</w:t>
        </w:r>
      </w:hyperlink>
      <w:r w:rsidR="006C0A38" w:rsidRPr="00D93E1C">
        <w:rPr>
          <w:rStyle w:val="Hyperlink"/>
          <w:lang w:val="en-US"/>
        </w:rPr>
        <w:t>, by Glasgow University</w:t>
      </w:r>
    </w:p>
    <w:p w14:paraId="6FD32312" w14:textId="77777777" w:rsidR="006C0A38" w:rsidRPr="00D93E1C" w:rsidRDefault="004D4F03" w:rsidP="006C0A38">
      <w:pPr>
        <w:pStyle w:val="Endnote-Link"/>
        <w:rPr>
          <w:lang w:val="en-US"/>
        </w:rPr>
      </w:pPr>
      <w:hyperlink r:id="rId28" w:history="1">
        <w:r w:rsidR="003640B4" w:rsidRPr="00D93E1C">
          <w:rPr>
            <w:rStyle w:val="Hyperlink"/>
            <w:lang w:val="en-US"/>
          </w:rPr>
          <w:t>Glasgow Depression Scale: Carer Supplement</w:t>
        </w:r>
      </w:hyperlink>
      <w:r w:rsidR="006C0A38" w:rsidRPr="00D93E1C">
        <w:rPr>
          <w:rStyle w:val="Hyperlink"/>
          <w:lang w:val="en-US"/>
        </w:rPr>
        <w:t>, by Glasgow University</w:t>
      </w:r>
    </w:p>
    <w:p w14:paraId="11F56E17" w14:textId="77777777" w:rsidR="006C0A38" w:rsidRPr="00D93E1C" w:rsidRDefault="004D4F03" w:rsidP="006C0A38">
      <w:pPr>
        <w:pStyle w:val="Endnote-Link"/>
        <w:rPr>
          <w:lang w:val="en-US"/>
        </w:rPr>
      </w:pPr>
      <w:hyperlink r:id="rId29" w:history="1">
        <w:r w:rsidR="003640B4" w:rsidRPr="00D93E1C">
          <w:rPr>
            <w:rStyle w:val="Hyperlink"/>
            <w:lang w:val="en-US"/>
          </w:rPr>
          <w:t>Glasgow Anxiety Scale for People with an Intellectual Disability</w:t>
        </w:r>
      </w:hyperlink>
      <w:r w:rsidR="006C0A38" w:rsidRPr="00D93E1C">
        <w:rPr>
          <w:rStyle w:val="Hyperlink"/>
          <w:lang w:val="en-US"/>
        </w:rPr>
        <w:t>, by Glasgow University</w:t>
      </w:r>
    </w:p>
    <w:p w14:paraId="354EB695" w14:textId="77777777" w:rsidR="006C0A38" w:rsidRPr="006C0A38" w:rsidRDefault="006C0A38" w:rsidP="006C0A38">
      <w:pPr>
        <w:pStyle w:val="Endnote-Link"/>
        <w:rPr>
          <w:b/>
          <w:bCs/>
          <w:lang w:val="en-US"/>
        </w:rPr>
      </w:pPr>
      <w:r w:rsidRPr="006C0A38">
        <w:rPr>
          <w:b/>
          <w:bCs/>
          <w:lang w:val="en-US"/>
        </w:rPr>
        <w:t>Tools regarding psychotropic medications:</w:t>
      </w:r>
    </w:p>
    <w:bookmarkStart w:id="6" w:name="_Hlk78290134"/>
    <w:p w14:paraId="27BF51F7" w14:textId="77777777" w:rsidR="006C0A38" w:rsidRPr="00D93E1C" w:rsidRDefault="006C0A38" w:rsidP="006C0A38">
      <w:pPr>
        <w:pStyle w:val="Endnote-Link"/>
        <w:rPr>
          <w:lang w:val="en-US"/>
        </w:rPr>
      </w:pPr>
      <w:r w:rsidRPr="00D93E1C">
        <w:rPr>
          <w:lang w:val="en-US"/>
        </w:rPr>
        <w:fldChar w:fldCharType="begin"/>
      </w:r>
      <w:r w:rsidRPr="00D93E1C">
        <w:rPr>
          <w:lang w:val="en-US"/>
        </w:rPr>
        <w:instrText xml:space="preserve"> HYPERLINK "http://ddprimarycare.surreyplace.ca/wp-content/uploads/2018/03/Psychotropic_Med_issues.pdf" </w:instrText>
      </w:r>
      <w:r w:rsidRPr="00D93E1C">
        <w:rPr>
          <w:lang w:val="en-US"/>
        </w:rPr>
      </w:r>
      <w:r w:rsidRPr="00D93E1C">
        <w:rPr>
          <w:lang w:val="en-US"/>
        </w:rPr>
        <w:fldChar w:fldCharType="separate"/>
      </w:r>
      <w:r w:rsidRPr="00D93E1C">
        <w:rPr>
          <w:rStyle w:val="Hyperlink"/>
          <w:lang w:val="en-US"/>
        </w:rPr>
        <w:t>Psychotropic Medication Review</w:t>
      </w:r>
      <w:r w:rsidRPr="00D93E1C">
        <w:rPr>
          <w:lang w:val="en-US"/>
        </w:rPr>
        <w:fldChar w:fldCharType="end"/>
      </w:r>
      <w:r w:rsidRPr="00D93E1C">
        <w:rPr>
          <w:lang w:val="en-US"/>
        </w:rPr>
        <w:t xml:space="preserve"> – indications and considerations for prescribing</w:t>
      </w:r>
    </w:p>
    <w:bookmarkEnd w:id="6"/>
    <w:p w14:paraId="2F6BA8A8" w14:textId="23205AC2" w:rsidR="003640B4" w:rsidRDefault="006C0A38" w:rsidP="009575F0">
      <w:pPr>
        <w:pStyle w:val="Endnote-Link"/>
      </w:pPr>
      <w:r w:rsidRPr="00D93E1C">
        <w:rPr>
          <w:lang w:val="en-US"/>
        </w:rPr>
        <w:fldChar w:fldCharType="begin"/>
      </w:r>
      <w:r w:rsidRPr="00D93E1C">
        <w:rPr>
          <w:lang w:val="en-US"/>
        </w:rPr>
        <w:instrText xml:space="preserve"> HYPERLINK "http://ddprimarycare.surreyplace.ca/wp-content/uploads/2018/03/Auditing_Psychotropic_Med.pdf" </w:instrText>
      </w:r>
      <w:r w:rsidRPr="00D93E1C">
        <w:rPr>
          <w:lang w:val="en-US"/>
        </w:rPr>
      </w:r>
      <w:r w:rsidRPr="00D93E1C">
        <w:rPr>
          <w:lang w:val="en-US"/>
        </w:rPr>
        <w:fldChar w:fldCharType="separate"/>
      </w:r>
      <w:r w:rsidRPr="00D93E1C">
        <w:rPr>
          <w:rStyle w:val="Hyperlink"/>
          <w:lang w:val="en-US"/>
        </w:rPr>
        <w:t>Auditing Psychotropic Medications</w:t>
      </w:r>
      <w:r w:rsidRPr="00D93E1C">
        <w:rPr>
          <w:lang w:val="en-US"/>
        </w:rPr>
        <w:fldChar w:fldCharType="end"/>
      </w:r>
      <w:r w:rsidRPr="00D93E1C">
        <w:rPr>
          <w:lang w:val="en-US"/>
        </w:rPr>
        <w:t xml:space="preserve"> </w:t>
      </w:r>
      <w:bookmarkStart w:id="7" w:name="_Hlk78359827"/>
      <w:r w:rsidRPr="00D93E1C">
        <w:rPr>
          <w:lang w:val="en-US"/>
        </w:rPr>
        <w:t>– questions to ask in reviewing current use of psychotropic medications</w:t>
      </w:r>
      <w:bookmarkEnd w:id="7"/>
    </w:p>
  </w:endnote>
  <w:endnote w:id="29">
    <w:p w14:paraId="2AE758E5" w14:textId="7EDE2E7C" w:rsidR="003640B4" w:rsidRDefault="003640B4" w:rsidP="009575F0">
      <w:pPr>
        <w:pStyle w:val="Endnote-H4"/>
      </w:pPr>
      <w:r>
        <w:rPr>
          <w:rStyle w:val="EndnoteReference"/>
        </w:rPr>
        <w:endnoteRef/>
      </w:r>
      <w:r>
        <w:t xml:space="preserve"> </w:t>
      </w:r>
      <w:proofErr w:type="spellStart"/>
      <w:r w:rsidRPr="00F9719D">
        <w:t>Behaviours</w:t>
      </w:r>
      <w:proofErr w:type="spellEnd"/>
      <w:r w:rsidRPr="00F9719D">
        <w:t xml:space="preserve"> that Challenge</w:t>
      </w:r>
    </w:p>
    <w:p w14:paraId="084A0237" w14:textId="17E700FD" w:rsidR="003640B4" w:rsidRDefault="003640B4" w:rsidP="009575F0">
      <w:pPr>
        <w:pStyle w:val="Endnote-Bullet-L1"/>
      </w:pPr>
      <w:r>
        <w:t>Consider, especially before mental health diagnosis or drug treatment: physical causes (</w:t>
      </w:r>
      <w:proofErr w:type="spellStart"/>
      <w:r>
        <w:t>eg</w:t>
      </w:r>
      <w:proofErr w:type="spellEnd"/>
      <w:r>
        <w:t>, rule out infection, constipation, dental pain); environmental changes (</w:t>
      </w:r>
      <w:proofErr w:type="spellStart"/>
      <w:r>
        <w:t>eg</w:t>
      </w:r>
      <w:proofErr w:type="spellEnd"/>
      <w:r>
        <w:t>, changed residence, reduced supports, usual worker on holidays); and lived experiences (</w:t>
      </w:r>
      <w:proofErr w:type="spellStart"/>
      <w:r>
        <w:t>eg</w:t>
      </w:r>
      <w:proofErr w:type="spellEnd"/>
      <w:r>
        <w:t xml:space="preserve">, stress, trauma, grief). </w:t>
      </w:r>
    </w:p>
    <w:p w14:paraId="3265CA0C" w14:textId="6DEE1ACE" w:rsidR="003640B4" w:rsidRDefault="003640B4" w:rsidP="00A05F23">
      <w:pPr>
        <w:pStyle w:val="Endnote-Context"/>
      </w:pPr>
      <w:r>
        <w:t xml:space="preserve">All behavior is communication. </w:t>
      </w:r>
      <w:proofErr w:type="spellStart"/>
      <w:r>
        <w:t>Behaviours</w:t>
      </w:r>
      <w:proofErr w:type="spellEnd"/>
      <w:r>
        <w:t xml:space="preserve"> that challenge (</w:t>
      </w:r>
      <w:proofErr w:type="spellStart"/>
      <w:r>
        <w:t>eg</w:t>
      </w:r>
      <w:proofErr w:type="spellEnd"/>
      <w:r>
        <w:t xml:space="preserve">, aggression, self-injury or irritability) are not psychiatric disorders. </w:t>
      </w:r>
      <w:proofErr w:type="spellStart"/>
      <w:r>
        <w:t>Behaviours</w:t>
      </w:r>
      <w:proofErr w:type="spellEnd"/>
      <w:r>
        <w:t xml:space="preserve"> that challenge often communicate underlying distress, sometimes from multiple causes. </w:t>
      </w:r>
    </w:p>
    <w:p w14:paraId="0604F1F3" w14:textId="77777777" w:rsidR="003640B4" w:rsidRDefault="003640B4" w:rsidP="00A05F23">
      <w:pPr>
        <w:pStyle w:val="Endnote-Context"/>
      </w:pPr>
      <w:r>
        <w:t xml:space="preserve">Antipsychotic drugs should no longer be regarded as an acceptable first-line or routine treatment of </w:t>
      </w:r>
      <w:proofErr w:type="spellStart"/>
      <w:r>
        <w:t>behaviours</w:t>
      </w:r>
      <w:proofErr w:type="spellEnd"/>
      <w:r>
        <w:t xml:space="preserve"> that challenge.</w:t>
      </w:r>
    </w:p>
    <w:p w14:paraId="7431CA63" w14:textId="4AE6DB94" w:rsidR="003640B4" w:rsidRDefault="004A2825" w:rsidP="00905C5E">
      <w:pPr>
        <w:pStyle w:val="Endnote-H5"/>
      </w:pPr>
      <w:r>
        <w:t>PRACTICE TOOLS</w:t>
      </w:r>
    </w:p>
    <w:p w14:paraId="352E3060" w14:textId="77777777" w:rsidR="003640B4" w:rsidRDefault="004D4F03" w:rsidP="00905C5E">
      <w:pPr>
        <w:pStyle w:val="Endnote-Link"/>
      </w:pPr>
      <w:hyperlink r:id="rId30" w:history="1">
        <w:r w:rsidR="003640B4" w:rsidRPr="00AD7ABB">
          <w:rPr>
            <w:rStyle w:val="Hyperlink"/>
          </w:rPr>
          <w:t>Monitoring chart - Direct Observation System</w:t>
        </w:r>
      </w:hyperlink>
    </w:p>
    <w:p w14:paraId="4802A8D1" w14:textId="77777777" w:rsidR="003640B4" w:rsidRDefault="004D4F03" w:rsidP="00905C5E">
      <w:pPr>
        <w:pStyle w:val="Endnote-Link"/>
      </w:pPr>
      <w:hyperlink r:id="rId31" w:history="1">
        <w:r w:rsidR="003640B4" w:rsidRPr="00AD7ABB">
          <w:rPr>
            <w:rStyle w:val="Hyperlink"/>
          </w:rPr>
          <w:t>Antecedent - Behaviour - Consequence (ABC) chart</w:t>
        </w:r>
      </w:hyperlink>
    </w:p>
    <w:p w14:paraId="291340E1" w14:textId="77777777" w:rsidR="003640B4" w:rsidRDefault="004D4F03" w:rsidP="00905C5E">
      <w:pPr>
        <w:pStyle w:val="Endnote-Link"/>
      </w:pPr>
      <w:hyperlink r:id="rId32" w:history="1">
        <w:r w:rsidR="003640B4" w:rsidRPr="00AD7ABB">
          <w:rPr>
            <w:rStyle w:val="Hyperlink"/>
          </w:rPr>
          <w:t>Initial Management of Behavio</w:t>
        </w:r>
        <w:r w:rsidR="003640B4">
          <w:rPr>
            <w:rStyle w:val="Hyperlink"/>
          </w:rPr>
          <w:t>u</w:t>
        </w:r>
        <w:r w:rsidR="003640B4" w:rsidRPr="00AD7ABB">
          <w:rPr>
            <w:rStyle w:val="Hyperlink"/>
          </w:rPr>
          <w:t>ral Crises in Family Medicine</w:t>
        </w:r>
      </w:hyperlink>
      <w:r w:rsidR="003640B4">
        <w:t xml:space="preserve"> </w:t>
      </w:r>
    </w:p>
    <w:p w14:paraId="62ACC13E" w14:textId="77777777" w:rsidR="003640B4" w:rsidRDefault="004D4F03" w:rsidP="00905C5E">
      <w:pPr>
        <w:pStyle w:val="Endnote-Link"/>
      </w:pPr>
      <w:hyperlink r:id="rId33" w:history="1">
        <w:r w:rsidR="003640B4" w:rsidRPr="005F743F">
          <w:rPr>
            <w:rStyle w:val="Hyperlink"/>
          </w:rPr>
          <w:t>HELP with emotional and behavioral concerns</w:t>
        </w:r>
      </w:hyperlink>
    </w:p>
    <w:p w14:paraId="187E48A2" w14:textId="77777777" w:rsidR="003640B4" w:rsidRDefault="004D4F03" w:rsidP="00905C5E">
      <w:pPr>
        <w:pStyle w:val="Endnote-Link"/>
        <w:rPr>
          <w:b/>
          <w:bCs/>
        </w:rPr>
      </w:pPr>
      <w:hyperlink r:id="rId34" w:history="1">
        <w:r w:rsidR="003640B4" w:rsidRPr="00EF456A">
          <w:rPr>
            <w:rStyle w:val="Hyperlink"/>
          </w:rPr>
          <w:t>Risk Assessment Tool for Adults with IDD in Behavioral Crisis</w:t>
        </w:r>
      </w:hyperlink>
    </w:p>
    <w:p w14:paraId="6F468E15" w14:textId="0DC430CC" w:rsidR="003640B4" w:rsidRPr="00905C5E" w:rsidRDefault="004D4F03" w:rsidP="00905C5E">
      <w:pPr>
        <w:pStyle w:val="Endnote-Link"/>
        <w:rPr>
          <w:color w:val="0563C1" w:themeColor="hyperlink"/>
          <w:u w:val="single"/>
        </w:rPr>
      </w:pPr>
      <w:hyperlink r:id="rId35" w:history="1">
        <w:r w:rsidR="003640B4" w:rsidRPr="00EF456A">
          <w:rPr>
            <w:rStyle w:val="Hyperlink"/>
          </w:rPr>
          <w:t>Other potentially helpful tools</w:t>
        </w:r>
      </w:hyperlink>
      <w:r w:rsidR="0032022D">
        <w:rPr>
          <w:rStyle w:val="Hyperlink"/>
        </w:rPr>
        <w:br/>
      </w:r>
    </w:p>
  </w:endnote>
  <w:endnote w:id="30">
    <w:p w14:paraId="3B341E07" w14:textId="66BD4B50" w:rsidR="003640B4" w:rsidRDefault="003640B4" w:rsidP="00905C5E">
      <w:pPr>
        <w:pStyle w:val="Endnote-H4"/>
      </w:pPr>
      <w:r>
        <w:rPr>
          <w:rStyle w:val="EndnoteReference"/>
        </w:rPr>
        <w:endnoteRef/>
      </w:r>
      <w:r>
        <w:t xml:space="preserve"> </w:t>
      </w:r>
      <w:r w:rsidRPr="00423FB8">
        <w:t>Dementia</w:t>
      </w:r>
    </w:p>
    <w:p w14:paraId="5970C94F" w14:textId="137DDFED" w:rsidR="003640B4" w:rsidRDefault="003640B4" w:rsidP="00905C5E">
      <w:pPr>
        <w:pStyle w:val="Endnote-Bullet-L1"/>
        <w:rPr>
          <w:i/>
          <w:iCs/>
        </w:rPr>
      </w:pPr>
      <w:r>
        <w:t>Consider dementia; consider using the following question</w:t>
      </w:r>
      <w:r w:rsidRPr="00423FB8">
        <w:rPr>
          <w:i/>
          <w:iCs/>
        </w:rPr>
        <w:t xml:space="preserve">: </w:t>
      </w:r>
    </w:p>
    <w:p w14:paraId="56E7CE0A" w14:textId="79E6D947" w:rsidR="003640B4" w:rsidRDefault="003640B4" w:rsidP="00905C5E">
      <w:pPr>
        <w:pStyle w:val="Endnote-Bullet-L2"/>
      </w:pPr>
      <w:r w:rsidRPr="00384258">
        <w:t xml:space="preserve">Are you still able to do [an activity of daily living] that you could do before? </w:t>
      </w:r>
    </w:p>
    <w:p w14:paraId="15D83685" w14:textId="5F45CE50" w:rsidR="003640B4" w:rsidRPr="00384258" w:rsidRDefault="003640B4" w:rsidP="00905C5E">
      <w:pPr>
        <w:pStyle w:val="Endnote-Bullet-L1"/>
      </w:pPr>
      <w:r w:rsidRPr="00384258">
        <w:t>If appropriate, ask caregivers about early signs of dementia (</w:t>
      </w:r>
      <w:proofErr w:type="spellStart"/>
      <w:r w:rsidRPr="00384258">
        <w:t>eg</w:t>
      </w:r>
      <w:proofErr w:type="spellEnd"/>
      <w:r w:rsidRPr="00384258">
        <w:t>, new onset of forgetfulness, incontinence, loss of personal skills, and changes in sleep patterns, personality, and behavior).</w:t>
      </w:r>
    </w:p>
    <w:p w14:paraId="5DC00999" w14:textId="1D3C9527" w:rsidR="003640B4" w:rsidRDefault="003640B4" w:rsidP="00A05F23">
      <w:pPr>
        <w:pStyle w:val="Endnote-Context"/>
      </w:pPr>
      <w:r>
        <w:t xml:space="preserve">Dementia is more prevalent among adults with IDD compared with the general population, with an earlier age of onset in adults with Down syndrome. Diagnosis might be missed because changes in emotion, social behavior or motivation can be gradual and subtle. A baseline of functioning against which to measure changes is needed. Differentiating dementia from depression and delirium can be especially challenging. </w:t>
      </w:r>
    </w:p>
    <w:p w14:paraId="2B3D2406" w14:textId="77777777" w:rsidR="003640B4" w:rsidRDefault="003640B4" w:rsidP="00A05F23">
      <w:pPr>
        <w:pStyle w:val="Endnote-Context"/>
      </w:pPr>
      <w:r>
        <w:t xml:space="preserve">For patients at risk of dementia, assess or refer for psychological testing to establish baseline of cognitive, adaptive, and communicative functioning. </w:t>
      </w:r>
    </w:p>
    <w:p w14:paraId="639BD42B" w14:textId="77777777" w:rsidR="003640B4" w:rsidRDefault="003640B4" w:rsidP="00A05F23">
      <w:pPr>
        <w:pStyle w:val="Endnote-Context"/>
      </w:pPr>
      <w:r>
        <w:t xml:space="preserve">Educate family and other care providers about early signs of dementia. </w:t>
      </w:r>
    </w:p>
    <w:p w14:paraId="6C27553A" w14:textId="77777777" w:rsidR="003640B4" w:rsidRDefault="003640B4" w:rsidP="00A05F23">
      <w:pPr>
        <w:pStyle w:val="Endnote-Context"/>
      </w:pPr>
      <w:r>
        <w:t xml:space="preserve">When signs are present, investigate for potentially reversible causes of dementia, including infections, thyroid disorder, cardiovascular disease, hearing and visual impairments, nutritional deficiencies, or medication effects. </w:t>
      </w:r>
    </w:p>
    <w:p w14:paraId="3BFD8995" w14:textId="77777777" w:rsidR="003640B4" w:rsidRDefault="003640B4" w:rsidP="00A05F23">
      <w:pPr>
        <w:pStyle w:val="Endnote-Context"/>
      </w:pPr>
      <w:r>
        <w:t>Consider referral to the appropriate specialist (</w:t>
      </w:r>
      <w:proofErr w:type="spellStart"/>
      <w:r>
        <w:t>ie</w:t>
      </w:r>
      <w:proofErr w:type="spellEnd"/>
      <w:r>
        <w:t xml:space="preserve">, psychiatrist, neurologist) if it is unclear whether symptoms and </w:t>
      </w:r>
      <w:proofErr w:type="spellStart"/>
      <w:r>
        <w:t>behaviours</w:t>
      </w:r>
      <w:proofErr w:type="spellEnd"/>
      <w:r>
        <w:t xml:space="preserve"> are due to emotional disturbance, psychiatric disorder, or dementia.</w:t>
      </w:r>
    </w:p>
    <w:p w14:paraId="2D3EF864" w14:textId="158288BF" w:rsidR="003640B4" w:rsidRDefault="004A2825" w:rsidP="00905C5E">
      <w:pPr>
        <w:pStyle w:val="Endnote-H5"/>
      </w:pPr>
      <w:r>
        <w:t>PRACTICE TOOLS</w:t>
      </w:r>
      <w:r w:rsidR="003640B4">
        <w:t xml:space="preserve"> </w:t>
      </w:r>
    </w:p>
    <w:p w14:paraId="08664E09" w14:textId="647F5428" w:rsidR="003640B4" w:rsidRDefault="004D4F03" w:rsidP="00905C5E">
      <w:pPr>
        <w:pStyle w:val="Endnote-Link"/>
      </w:pPr>
      <w:hyperlink r:id="rId36" w:history="1">
        <w:r w:rsidR="003640B4" w:rsidRPr="00912354">
          <w:rPr>
            <w:rStyle w:val="Hyperlink"/>
          </w:rPr>
          <w:t>NTG Early Detection Screen for Dementia</w:t>
        </w:r>
      </w:hyperlink>
      <w:r w:rsidR="003640B4" w:rsidRPr="00912354">
        <w:t>, National Task Group on Intellectual Disabilities and Dementia Practices, American Academy of Developmental Medicine and Dentistry</w:t>
      </w:r>
    </w:p>
  </w:endnote>
  <w:endnote w:id="31">
    <w:p w14:paraId="56DB2C39" w14:textId="798ED51F" w:rsidR="003640B4" w:rsidRDefault="003640B4" w:rsidP="00905C5E">
      <w:pPr>
        <w:pStyle w:val="Endnote-H4"/>
      </w:pPr>
      <w:r>
        <w:rPr>
          <w:rStyle w:val="EndnoteReference"/>
        </w:rPr>
        <w:endnoteRef/>
      </w:r>
      <w:r>
        <w:t xml:space="preserve"> </w:t>
      </w:r>
      <w:r w:rsidRPr="00912354">
        <w:t>Life Transitions</w:t>
      </w:r>
    </w:p>
    <w:p w14:paraId="313C5ED3" w14:textId="77777777" w:rsidR="003640B4" w:rsidRDefault="003640B4" w:rsidP="009A587F">
      <w:pPr>
        <w:pStyle w:val="Endnote-Bullet-L1"/>
      </w:pPr>
      <w:r w:rsidRPr="00384258">
        <w:t>Proactively discuss the effects of anticipated transitions with patients, their caregivers, and other members of the health care team.</w:t>
      </w:r>
    </w:p>
    <w:p w14:paraId="740E8F81" w14:textId="57B43A1E" w:rsidR="003640B4" w:rsidRDefault="003640B4" w:rsidP="00905C5E">
      <w:pPr>
        <w:pStyle w:val="Endnote-Link"/>
      </w:pPr>
      <w:r>
        <w:t xml:space="preserve">Life transitions, such as to adolescence, adulthood, frailty (which can have an early onset) and end of life, are periods of change that are among the most challenging for people with IDD and their caregivers. These are times that require different or greater supports. </w:t>
      </w:r>
    </w:p>
    <w:p w14:paraId="38D3388D" w14:textId="4BC4C1E8" w:rsidR="000020BE" w:rsidRDefault="004A2825" w:rsidP="00432CA4">
      <w:pPr>
        <w:pStyle w:val="Endnote-H5"/>
      </w:pPr>
      <w:r>
        <w:t>PRACTICE TOOLS</w:t>
      </w:r>
      <w:r w:rsidR="000020BE">
        <w:t xml:space="preserve"> </w:t>
      </w:r>
    </w:p>
    <w:p w14:paraId="4FAFD76B" w14:textId="052D4EA1" w:rsidR="003640B4" w:rsidRDefault="004D4F03" w:rsidP="000020BE">
      <w:pPr>
        <w:pStyle w:val="Endnote-Link"/>
      </w:pPr>
      <w:hyperlink r:id="rId37" w:history="1">
        <w:r w:rsidR="003640B4" w:rsidRPr="007A0659">
          <w:rPr>
            <w:rStyle w:val="Hyperlink"/>
          </w:rPr>
          <w:t>Health Care Transitions</w:t>
        </w:r>
      </w:hyperlink>
    </w:p>
  </w:endnote>
  <w:endnote w:id="32">
    <w:p w14:paraId="09DA8258" w14:textId="270B8E4F" w:rsidR="003640B4" w:rsidRDefault="003640B4" w:rsidP="003D71C4">
      <w:pPr>
        <w:pStyle w:val="Endnote-H4"/>
      </w:pPr>
      <w:r>
        <w:rPr>
          <w:rStyle w:val="EndnoteReference"/>
        </w:rPr>
        <w:endnoteRef/>
      </w:r>
      <w:r>
        <w:t xml:space="preserve"> </w:t>
      </w:r>
      <w:r w:rsidRPr="007A0659">
        <w:t>Abuse, exploitation, neglect</w:t>
      </w:r>
    </w:p>
    <w:p w14:paraId="1EC72816" w14:textId="3E7930D9" w:rsidR="003640B4" w:rsidRDefault="003640B4" w:rsidP="003D71C4">
      <w:pPr>
        <w:pStyle w:val="Endnote-Bullet-L1"/>
      </w:pPr>
      <w:r w:rsidRPr="00384258">
        <w:t>Assess for risk factors of abuse</w:t>
      </w:r>
      <w:r>
        <w:t xml:space="preserve"> </w:t>
      </w:r>
      <w:r w:rsidRPr="00384258">
        <w:t>(</w:t>
      </w:r>
      <w:proofErr w:type="spellStart"/>
      <w:r w:rsidRPr="00384258">
        <w:t>eg</w:t>
      </w:r>
      <w:proofErr w:type="spellEnd"/>
      <w:r w:rsidRPr="00384258">
        <w:t>, residential living) and for possible indicators.</w:t>
      </w:r>
      <w:r>
        <w:t xml:space="preserve"> Consider the following questions: </w:t>
      </w:r>
    </w:p>
    <w:p w14:paraId="59599DB8" w14:textId="6D1A1AA2" w:rsidR="003640B4" w:rsidRPr="00384258" w:rsidRDefault="003640B4" w:rsidP="003D71C4">
      <w:pPr>
        <w:pStyle w:val="Endnote-Bullet-L2"/>
      </w:pPr>
      <w:r w:rsidRPr="00384258">
        <w:t xml:space="preserve">Has anyone ever hurt you? </w:t>
      </w:r>
    </w:p>
    <w:p w14:paraId="5E0491DB" w14:textId="5563D95E" w:rsidR="003640B4" w:rsidRPr="00384258" w:rsidRDefault="003640B4" w:rsidP="003D71C4">
      <w:pPr>
        <w:pStyle w:val="Endnote-Bullet-L2"/>
      </w:pPr>
      <w:r w:rsidRPr="00384258">
        <w:t xml:space="preserve">Has someone ever touched your breast or vagina or penis without your permission? </w:t>
      </w:r>
    </w:p>
    <w:p w14:paraId="705C5B9E" w14:textId="1BE7DCE8" w:rsidR="003640B4" w:rsidRPr="00384258" w:rsidRDefault="003640B4" w:rsidP="003D71C4">
      <w:pPr>
        <w:pStyle w:val="Endnote-Bullet-L2"/>
      </w:pPr>
      <w:r w:rsidRPr="00384258">
        <w:t>Have you ever been asked or forced or guided to touch someone else’s breast, vagina or penis or forced to do something you did not feel comfortable doing?</w:t>
      </w:r>
    </w:p>
    <w:p w14:paraId="5E541ABA" w14:textId="2F5A1784" w:rsidR="003640B4" w:rsidRDefault="003640B4" w:rsidP="00B81A1E">
      <w:pPr>
        <w:pStyle w:val="Endnote-Context"/>
      </w:pPr>
      <w:r>
        <w:t>Abuse can present as unexplained changes in physical health (</w:t>
      </w:r>
      <w:proofErr w:type="spellStart"/>
      <w:r>
        <w:t>eg</w:t>
      </w:r>
      <w:proofErr w:type="spellEnd"/>
      <w:r>
        <w:t>, malnutrition) or mental health (</w:t>
      </w:r>
      <w:proofErr w:type="spellStart"/>
      <w:r>
        <w:t>eg</w:t>
      </w:r>
      <w:proofErr w:type="spellEnd"/>
      <w:r>
        <w:t>, anxiety, depression), as well as changes in behavior (</w:t>
      </w:r>
      <w:proofErr w:type="spellStart"/>
      <w:r>
        <w:t>eg</w:t>
      </w:r>
      <w:proofErr w:type="spellEnd"/>
      <w:r>
        <w:t>, withdrawal, disruptive behavior, inappropriate attachments, sexualized behavior). Neglect can present as a recurring pattern of inadequate care (</w:t>
      </w:r>
      <w:proofErr w:type="spellStart"/>
      <w:r>
        <w:t>eg</w:t>
      </w:r>
      <w:proofErr w:type="spellEnd"/>
      <w:r>
        <w:t xml:space="preserve">, missed appointments and nonadherence). </w:t>
      </w:r>
    </w:p>
  </w:endnote>
  <w:endnote w:id="33">
    <w:p w14:paraId="14C5A838" w14:textId="267E703D" w:rsidR="003640B4" w:rsidRDefault="003640B4" w:rsidP="001C2115">
      <w:pPr>
        <w:pStyle w:val="Endnote-H4"/>
      </w:pPr>
      <w:r>
        <w:rPr>
          <w:rStyle w:val="EndnoteReference"/>
        </w:rPr>
        <w:endnoteRef/>
      </w:r>
      <w:r>
        <w:t xml:space="preserve"> </w:t>
      </w:r>
      <w:r w:rsidRPr="005D633D">
        <w:t>Caregiver stress</w:t>
      </w:r>
    </w:p>
    <w:p w14:paraId="7DD3365F" w14:textId="77777777" w:rsidR="003640B4" w:rsidRDefault="003640B4" w:rsidP="000215DB">
      <w:pPr>
        <w:pStyle w:val="Endnote-Bullet-L1"/>
      </w:pPr>
      <w:r>
        <w:t>Attend to the needs of caregivers</w:t>
      </w:r>
    </w:p>
    <w:p w14:paraId="2AD9C609" w14:textId="77777777" w:rsidR="003640B4" w:rsidRDefault="003640B4" w:rsidP="00222FF7">
      <w:pPr>
        <w:pStyle w:val="Endnote-Context"/>
      </w:pPr>
      <w:r>
        <w:t xml:space="preserve">Families and other caregivers often experience considerable mental, physical, or economic stress in balancing the person with IDD’s support needs with other responsibilities. Sleep disturbance also causes stress. Safety of caregivers at home may be an issue, especially in the setting of </w:t>
      </w:r>
      <w:proofErr w:type="spellStart"/>
      <w:r>
        <w:t>behaviours</w:t>
      </w:r>
      <w:proofErr w:type="spellEnd"/>
      <w:r>
        <w:t xml:space="preserve"> that challenge.</w:t>
      </w:r>
    </w:p>
    <w:p w14:paraId="7F8F13EB" w14:textId="77777777" w:rsidR="003640B4" w:rsidRDefault="003640B4" w:rsidP="00222FF7">
      <w:pPr>
        <w:pStyle w:val="Endnote-Context"/>
      </w:pPr>
      <w:r>
        <w:t xml:space="preserve">Regularly screen for and proactively attend to the support needs of caregivers. Recommend interventions that reduce </w:t>
      </w:r>
      <w:proofErr w:type="spellStart"/>
      <w:r>
        <w:t>behaviours</w:t>
      </w:r>
      <w:proofErr w:type="spellEnd"/>
      <w:r>
        <w:t xml:space="preserve"> that challenge in people with IDD (</w:t>
      </w:r>
      <w:proofErr w:type="spellStart"/>
      <w:r>
        <w:t>eg</w:t>
      </w:r>
      <w:proofErr w:type="spellEnd"/>
      <w:r>
        <w:t xml:space="preserve">, positive </w:t>
      </w:r>
      <w:proofErr w:type="spellStart"/>
      <w:r>
        <w:t>behaviour</w:t>
      </w:r>
      <w:proofErr w:type="spellEnd"/>
      <w:r>
        <w:t xml:space="preserve"> support) and increase coping and reduce stress experienced by caregivers (</w:t>
      </w:r>
      <w:proofErr w:type="spellStart"/>
      <w:r>
        <w:t>eg</w:t>
      </w:r>
      <w:proofErr w:type="spellEnd"/>
      <w:r>
        <w:t xml:space="preserve">, Mindfulness Based Stress Reduction; Acceptance and Commitment Therapy). </w:t>
      </w:r>
    </w:p>
    <w:p w14:paraId="2EFC179B" w14:textId="77777777" w:rsidR="003640B4" w:rsidRDefault="003640B4" w:rsidP="00222FF7">
      <w:pPr>
        <w:pStyle w:val="Endnote-Context"/>
      </w:pPr>
      <w:r>
        <w:t>When concerns arise regarding a change or increased needs or a negative life event that is leading to an impending family crisis, assess and monitor family or caregiver stress (</w:t>
      </w:r>
      <w:proofErr w:type="spellStart"/>
      <w:r>
        <w:t>eg</w:t>
      </w:r>
      <w:proofErr w:type="spellEnd"/>
      <w:r>
        <w:t>, through the Brief Family Distress Scale) and advocate for respite or additional supports.</w:t>
      </w:r>
    </w:p>
    <w:p w14:paraId="7B795D33" w14:textId="564FB5CD" w:rsidR="003640B4" w:rsidRDefault="004A2825" w:rsidP="001C2115">
      <w:pPr>
        <w:pStyle w:val="Endnote-H5"/>
      </w:pPr>
      <w:r>
        <w:t>PRACTICE TOOLS</w:t>
      </w:r>
      <w:r w:rsidR="003640B4">
        <w:t xml:space="preserve"> </w:t>
      </w:r>
    </w:p>
    <w:p w14:paraId="5E40777A" w14:textId="1174277C" w:rsidR="003640B4" w:rsidRPr="008F2E75" w:rsidRDefault="004D4F03" w:rsidP="001C2115">
      <w:pPr>
        <w:pStyle w:val="Endnote-Link"/>
        <w:rPr>
          <w:b/>
        </w:rPr>
      </w:pPr>
      <w:hyperlink r:id="rId38" w:history="1">
        <w:r w:rsidR="003640B4" w:rsidRPr="00D93E1C">
          <w:rPr>
            <w:rStyle w:val="Hyperlink"/>
            <w:lang w:val="en-US"/>
          </w:rPr>
          <w:t>Brief Family Distress Scale</w:t>
        </w:r>
      </w:hyperlink>
      <w:r w:rsidR="008F2E75" w:rsidRPr="00D93E1C">
        <w:rPr>
          <w:rStyle w:val="Hyperlink"/>
          <w:lang w:val="en-US"/>
        </w:rPr>
        <w:t>, available at Measurement Instrument Database for the Social Sciences, National University of Ireland</w:t>
      </w:r>
    </w:p>
  </w:endnote>
  <w:endnote w:id="34">
    <w:p w14:paraId="799B54E3" w14:textId="04BA1D1F" w:rsidR="003640B4" w:rsidRDefault="003640B4" w:rsidP="009D2157">
      <w:pPr>
        <w:pStyle w:val="Endnote-H4"/>
      </w:pPr>
      <w:r>
        <w:rPr>
          <w:rStyle w:val="EndnoteReference"/>
        </w:rPr>
        <w:endnoteRef/>
      </w:r>
      <w:r>
        <w:t xml:space="preserve"> </w:t>
      </w:r>
      <w:r w:rsidRPr="000F318F">
        <w:t>Medication Review</w:t>
      </w:r>
    </w:p>
    <w:p w14:paraId="571476FC" w14:textId="24C51AFE" w:rsidR="003640B4" w:rsidRDefault="003640B4" w:rsidP="001C2115">
      <w:pPr>
        <w:pStyle w:val="Endnote-Bullet-L1"/>
      </w:pPr>
      <w:r w:rsidRPr="00665771">
        <w:t xml:space="preserve">Update medication list in EMR. </w:t>
      </w:r>
    </w:p>
    <w:p w14:paraId="47257863" w14:textId="38A94748" w:rsidR="003640B4" w:rsidRPr="00665771" w:rsidRDefault="003640B4" w:rsidP="001C2115">
      <w:pPr>
        <w:pStyle w:val="Endnote-Bullet-L1"/>
      </w:pPr>
      <w:r w:rsidRPr="00665771">
        <w:t>Ask about herbal and alternative treatments, vitamins, minerals, probiotics, CBD oil, etc.</w:t>
      </w:r>
    </w:p>
    <w:p w14:paraId="2136F8FB" w14:textId="6129BA01" w:rsidR="003640B4" w:rsidRDefault="003640B4" w:rsidP="00A05F23">
      <w:pPr>
        <w:pStyle w:val="Endnote-Context"/>
      </w:pPr>
      <w:r>
        <w:t xml:space="preserve">Polypharmacy and long-term use of certain medications are prevalent among people with IDD. </w:t>
      </w:r>
    </w:p>
    <w:p w14:paraId="54FA746C" w14:textId="77777777" w:rsidR="003640B4" w:rsidRDefault="003640B4" w:rsidP="00A05F23">
      <w:pPr>
        <w:pStyle w:val="Endnote-Context"/>
      </w:pPr>
      <w:r>
        <w:t xml:space="preserve">Review regularly – consider every 3-6 months - the date of initiation, indications, dose, effectiveness, routine monitoring required and adverse drug reactions or unwanted effects of all medications. </w:t>
      </w:r>
    </w:p>
    <w:p w14:paraId="71FB6F66" w14:textId="0690BD2E" w:rsidR="003640B4" w:rsidRDefault="003640B4" w:rsidP="00A05F23">
      <w:pPr>
        <w:pStyle w:val="Endnote-Context"/>
      </w:pPr>
      <w:r>
        <w:t>Involve a pharmacist to review medications whenever possible.</w:t>
      </w:r>
    </w:p>
    <w:p w14:paraId="55ED7EBC" w14:textId="192DFCFB" w:rsidR="003640B4" w:rsidRDefault="004A2825" w:rsidP="001C2115">
      <w:pPr>
        <w:pStyle w:val="Endnote-H5"/>
      </w:pPr>
      <w:r>
        <w:t>PRACTICE TOOLS</w:t>
      </w:r>
    </w:p>
    <w:p w14:paraId="1323D4AE" w14:textId="77777777" w:rsidR="003640B4" w:rsidRDefault="004D4F03" w:rsidP="001C2115">
      <w:pPr>
        <w:pStyle w:val="Endnote-Link"/>
      </w:pPr>
      <w:hyperlink r:id="rId39" w:history="1">
        <w:r w:rsidR="003640B4" w:rsidRPr="000F318F">
          <w:rPr>
            <w:rStyle w:val="Hyperlink"/>
          </w:rPr>
          <w:t>Psychotropic Medication Review</w:t>
        </w:r>
      </w:hyperlink>
      <w:r w:rsidR="003640B4">
        <w:t xml:space="preserve"> - </w:t>
      </w:r>
      <w:r w:rsidR="003640B4" w:rsidRPr="006A5923">
        <w:t>indications and considerations for prescribing</w:t>
      </w:r>
    </w:p>
    <w:p w14:paraId="60A2DDA4" w14:textId="77777777" w:rsidR="003640B4" w:rsidRDefault="004D4F03" w:rsidP="001C2115">
      <w:pPr>
        <w:pStyle w:val="Endnote-Link"/>
      </w:pPr>
      <w:hyperlink r:id="rId40" w:history="1">
        <w:r w:rsidR="003640B4" w:rsidRPr="006A5923">
          <w:rPr>
            <w:rStyle w:val="Hyperlink"/>
          </w:rPr>
          <w:t>Auditing Psychotropic Medications Therapy</w:t>
        </w:r>
      </w:hyperlink>
      <w:r w:rsidR="003640B4">
        <w:t xml:space="preserve"> </w:t>
      </w:r>
      <w:r w:rsidR="003640B4" w:rsidRPr="006A5923">
        <w:t>– questions to ask in reviewing current use of psychotropic medications</w:t>
      </w:r>
    </w:p>
    <w:p w14:paraId="792FF456" w14:textId="231C228F" w:rsidR="003640B4" w:rsidRDefault="004D4F03" w:rsidP="001C2115">
      <w:pPr>
        <w:pStyle w:val="Endnote-Link"/>
      </w:pPr>
      <w:hyperlink r:id="rId41" w:history="1">
        <w:r w:rsidR="003640B4" w:rsidRPr="00AD7ABB">
          <w:rPr>
            <w:rStyle w:val="Hyperlink"/>
          </w:rPr>
          <w:t>Monitoring chart - Direct Observation System</w:t>
        </w:r>
      </w:hyperlink>
      <w:r w:rsidR="003640B4">
        <w:rPr>
          <w:rStyle w:val="Hyperlink"/>
        </w:rPr>
        <w:t xml:space="preserve"> </w:t>
      </w:r>
    </w:p>
  </w:endnote>
  <w:endnote w:id="35">
    <w:p w14:paraId="619AF945" w14:textId="74AD3E17" w:rsidR="003640B4" w:rsidRDefault="003640B4" w:rsidP="001C2115">
      <w:pPr>
        <w:pStyle w:val="Endnote-H4"/>
      </w:pPr>
      <w:r>
        <w:rPr>
          <w:rStyle w:val="EndnoteReference"/>
        </w:rPr>
        <w:endnoteRef/>
      </w:r>
      <w:r>
        <w:t xml:space="preserve"> </w:t>
      </w:r>
      <w:r w:rsidRPr="006A5923">
        <w:t>Screening maneuvers and preventive care</w:t>
      </w:r>
    </w:p>
    <w:p w14:paraId="1159BA84" w14:textId="200C76BD" w:rsidR="003640B4" w:rsidRDefault="003640B4" w:rsidP="001C2115">
      <w:pPr>
        <w:pStyle w:val="Endnote-Bullet-L1"/>
      </w:pPr>
      <w:r>
        <w:t>Review past screening and preventive maneuvers and identify need, as per guidelines for the general population.</w:t>
      </w:r>
    </w:p>
    <w:p w14:paraId="3A550364" w14:textId="77A6FA2B" w:rsidR="003640B4" w:rsidRDefault="003640B4" w:rsidP="001C2115">
      <w:pPr>
        <w:pStyle w:val="Endnote-Bullet-L1"/>
      </w:pPr>
      <w:r>
        <w:t>Note</w:t>
      </w:r>
      <w:r w:rsidRPr="00665771">
        <w:t xml:space="preserve"> any reason for exclusion of a preventive care maneuver </w:t>
      </w:r>
      <w:r>
        <w:t>in</w:t>
      </w:r>
      <w:r w:rsidRPr="00665771">
        <w:t xml:space="preserve"> the CPP so this information is not lost for subsequent visits.</w:t>
      </w:r>
    </w:p>
    <w:p w14:paraId="5FBCE0E4" w14:textId="5C82DA38" w:rsidR="003640B4" w:rsidRPr="00A05F23" w:rsidRDefault="003640B4" w:rsidP="00A05F23">
      <w:pPr>
        <w:pStyle w:val="Endnote-Context"/>
      </w:pPr>
      <w:r w:rsidRPr="00A05F23">
        <w:t>People with IDD are less likely to be supported to self-monitor and report early symptoms and signs of cancer. Those who do develop cancer often have more advanced cancer at the time of detection than those in the general population do.</w:t>
      </w:r>
    </w:p>
    <w:p w14:paraId="6C0C7393" w14:textId="77777777" w:rsidR="003640B4" w:rsidRDefault="003640B4" w:rsidP="00A05F23">
      <w:pPr>
        <w:pStyle w:val="Endnote-Context"/>
      </w:pPr>
      <w:r>
        <w:t>Use easy-to-read materials to inform people with IDD about these examinations before assessment; see links below.</w:t>
      </w:r>
    </w:p>
    <w:p w14:paraId="34BACC0F" w14:textId="77777777" w:rsidR="003640B4" w:rsidRDefault="003640B4" w:rsidP="00A05F23">
      <w:pPr>
        <w:pStyle w:val="Endnote-Context"/>
      </w:pPr>
      <w:r>
        <w:t>Identify those preventive care maneuvers applicable to the person’s age, sex, risks, as for the general population.</w:t>
      </w:r>
    </w:p>
    <w:p w14:paraId="2E57032A" w14:textId="25C7B7EF" w:rsidR="003640B4" w:rsidRDefault="004A2825" w:rsidP="00037975">
      <w:pPr>
        <w:pStyle w:val="Endnote-H5"/>
      </w:pPr>
      <w:r>
        <w:t>PRACTICE TOOLS</w:t>
      </w:r>
    </w:p>
    <w:bookmarkStart w:id="8" w:name="_Hlk78375539"/>
    <w:p w14:paraId="7684BDE3" w14:textId="334E617B" w:rsidR="003640B4" w:rsidRPr="00037975" w:rsidRDefault="00D66D1E" w:rsidP="00037975">
      <w:pPr>
        <w:pStyle w:val="Endnote-Link"/>
        <w:rPr>
          <w:b/>
          <w:bCs/>
        </w:rPr>
      </w:pPr>
      <w:r w:rsidRPr="008E3D44">
        <w:rPr>
          <w:rStyle w:val="Hyperlink"/>
        </w:rPr>
        <w:fldChar w:fldCharType="begin"/>
      </w:r>
      <w:r w:rsidRPr="008E3D44">
        <w:rPr>
          <w:rStyle w:val="Hyperlink"/>
        </w:rPr>
        <w:instrText xml:space="preserve"> HYPERLINK "https://www.easyhealth.org.uk" </w:instrText>
      </w:r>
      <w:r w:rsidRPr="008E3D44">
        <w:rPr>
          <w:rStyle w:val="Hyperlink"/>
        </w:rPr>
      </w:r>
      <w:r w:rsidRPr="008E3D44">
        <w:rPr>
          <w:rStyle w:val="Hyperlink"/>
        </w:rPr>
        <w:fldChar w:fldCharType="separate"/>
      </w:r>
      <w:proofErr w:type="spellStart"/>
      <w:r w:rsidRPr="008E3D44">
        <w:rPr>
          <w:rStyle w:val="Hyperlink"/>
        </w:rPr>
        <w:t>EasyHealth</w:t>
      </w:r>
      <w:proofErr w:type="spellEnd"/>
      <w:r w:rsidRPr="008E3D44">
        <w:rPr>
          <w:rStyle w:val="Hyperlink"/>
        </w:rPr>
        <w:fldChar w:fldCharType="end"/>
      </w:r>
      <w:r w:rsidR="003640B4" w:rsidRPr="008E3D44">
        <w:rPr>
          <w:rStyle w:val="Hyperlink"/>
        </w:rPr>
        <w:t xml:space="preserve"> </w:t>
      </w:r>
      <w:r w:rsidR="003640B4">
        <w:t xml:space="preserve">easy-to-read leaflets on multiple health topics </w:t>
      </w:r>
      <w:r w:rsidRPr="00D93E1C">
        <w:t xml:space="preserve">by </w:t>
      </w:r>
      <w:proofErr w:type="spellStart"/>
      <w:r w:rsidRPr="00D93E1C">
        <w:t>EasyHealth</w:t>
      </w:r>
      <w:proofErr w:type="spellEnd"/>
      <w:r w:rsidRPr="00D93E1C">
        <w:t xml:space="preserve">, Generate Opportunities Ltd., UK. Access </w:t>
      </w:r>
      <w:r w:rsidR="003640B4">
        <w:t>to this website is free but requires simple registration</w:t>
      </w:r>
      <w:r w:rsidRPr="00D93E1C">
        <w:t>.</w:t>
      </w:r>
      <w:bookmarkEnd w:id="8"/>
    </w:p>
  </w:endnote>
  <w:endnote w:id="36">
    <w:p w14:paraId="4E095D0E" w14:textId="591C6290" w:rsidR="0016538B" w:rsidRDefault="0016538B" w:rsidP="00037975">
      <w:pPr>
        <w:pStyle w:val="Endnote-H4"/>
      </w:pPr>
      <w:r>
        <w:rPr>
          <w:rStyle w:val="EndnoteReference"/>
        </w:rPr>
        <w:endnoteRef/>
      </w:r>
      <w:r>
        <w:t xml:space="preserve"> </w:t>
      </w:r>
      <w:r w:rsidRPr="007E007E">
        <w:t>Physical exam</w:t>
      </w:r>
    </w:p>
    <w:p w14:paraId="3C3C45DC" w14:textId="4B865783" w:rsidR="0016538B" w:rsidRDefault="0016538B" w:rsidP="00D66D1E">
      <w:pPr>
        <w:pStyle w:val="Endnote-Context"/>
      </w:pPr>
      <w:r>
        <w:t>Prompts for a complete physical exam are included in this template, but, especially in patients who can report symptoms accurately, a physical exam focused on the problems identified by the history is appropriate and more practical.</w:t>
      </w:r>
    </w:p>
    <w:p w14:paraId="6F50EED2" w14:textId="3079D0CF" w:rsidR="0016538B" w:rsidRDefault="004A2825" w:rsidP="00037975">
      <w:pPr>
        <w:pStyle w:val="Endnote-H5"/>
      </w:pPr>
      <w:r>
        <w:t>PRACTICE TOOLS</w:t>
      </w:r>
    </w:p>
    <w:p w14:paraId="51A451ED" w14:textId="2A1925F5" w:rsidR="0016538B" w:rsidRDefault="004D4F03" w:rsidP="00037975">
      <w:pPr>
        <w:pStyle w:val="Endnote-Link"/>
      </w:pPr>
      <w:hyperlink r:id="rId42" w:history="1">
        <w:r w:rsidR="00025564" w:rsidRPr="00D93E1C">
          <w:rPr>
            <w:rStyle w:val="Hyperlink"/>
            <w:lang w:val="en-US"/>
          </w:rPr>
          <w:t>Keys to Success when Examining Patients with Developmental Disabilities</w:t>
        </w:r>
      </w:hyperlink>
      <w:r w:rsidR="00025564" w:rsidRPr="00D93E1C">
        <w:t xml:space="preserve"> A video</w:t>
      </w:r>
      <w:r w:rsidR="0016538B">
        <w:t xml:space="preserve"> of a family physician demonstrating parts of the physical examination of an adult with IDD, by the Curriculum of Caring, McMaster University (duration: 8 minutes).</w:t>
      </w:r>
    </w:p>
  </w:endnote>
  <w:endnote w:id="37">
    <w:p w14:paraId="0E7D072E" w14:textId="517C3258" w:rsidR="00766591" w:rsidRPr="001E7A0B" w:rsidRDefault="00766591" w:rsidP="00037975">
      <w:pPr>
        <w:pStyle w:val="Endnote-H4"/>
      </w:pPr>
      <w:r w:rsidRPr="00EA151E">
        <w:rPr>
          <w:rStyle w:val="EndnoteTextChar"/>
          <w:rFonts w:ascii="Lato Black" w:hAnsi="Lato Black"/>
          <w:vertAlign w:val="superscript"/>
        </w:rPr>
        <w:endnoteRef/>
      </w:r>
      <w:r>
        <w:t xml:space="preserve"> </w:t>
      </w:r>
      <w:r w:rsidRPr="00785EDB">
        <w:t>Vital signs</w:t>
      </w:r>
    </w:p>
    <w:p w14:paraId="6D893731" w14:textId="77777777" w:rsidR="00766591" w:rsidRDefault="00766591" w:rsidP="00CE3265">
      <w:pPr>
        <w:pStyle w:val="Endnote-Context"/>
      </w:pPr>
      <w:r>
        <w:t>The documentation of vital signs when the patient is well provides a baseline for comparison when the patient is sick. Abdominal and hip circumferences can be used if it is difficult to weigh a patient on scales.</w:t>
      </w:r>
    </w:p>
    <w:p w14:paraId="44173794" w14:textId="77777777" w:rsidR="00766591" w:rsidRDefault="00766591" w:rsidP="00CE3265">
      <w:pPr>
        <w:pStyle w:val="Endnote-Context"/>
        <w:rPr>
          <w:b/>
          <w:bCs/>
        </w:rPr>
      </w:pPr>
      <w:r>
        <w:t xml:space="preserve">Consider using a wrist blood pressure cuff monitor if an upper arm cuff is not acceptable. </w:t>
      </w:r>
      <w:hyperlink r:id="rId43" w:history="1">
        <w:r w:rsidRPr="006D72AC">
          <w:t>Hypertension Canada</w:t>
        </w:r>
      </w:hyperlink>
      <w:r>
        <w:t xml:space="preserve"> identifies acceptable models. Holding the patient’s hand during measurement may be helpful.  </w:t>
      </w:r>
    </w:p>
    <w:p w14:paraId="1079624D" w14:textId="02D6EC65" w:rsidR="00766591" w:rsidRDefault="00766591" w:rsidP="00CE3265">
      <w:pPr>
        <w:pStyle w:val="Endnote-Context"/>
      </w:pPr>
      <w:r>
        <w:t>Enter data into this form or, better for continuity, into the appropriate fields of your Electronic Medical Record</w:t>
      </w:r>
      <w:r w:rsidR="00DC64BA">
        <w:t>.</w:t>
      </w:r>
      <w:r>
        <w:t xml:space="preserve"> </w:t>
      </w:r>
    </w:p>
  </w:endnote>
  <w:endnote w:id="38">
    <w:p w14:paraId="5F56F2F9" w14:textId="63A40D08" w:rsidR="00766591" w:rsidRDefault="00766591" w:rsidP="00037975">
      <w:pPr>
        <w:pStyle w:val="Endnote-H4"/>
      </w:pPr>
      <w:r w:rsidRPr="008E1D45">
        <w:rPr>
          <w:vertAlign w:val="superscript"/>
        </w:rPr>
        <w:endnoteRef/>
      </w:r>
      <w:r w:rsidRPr="008E1D45">
        <w:rPr>
          <w:vertAlign w:val="superscript"/>
        </w:rPr>
        <w:t xml:space="preserve"> </w:t>
      </w:r>
      <w:r w:rsidRPr="007B0BDC">
        <w:t>Eyes, vision</w:t>
      </w:r>
    </w:p>
    <w:p w14:paraId="25B41B0B" w14:textId="1F67A9E9" w:rsidR="00766591" w:rsidRDefault="00766591" w:rsidP="00037975">
      <w:pPr>
        <w:pStyle w:val="Endnote-Bullet-L1"/>
      </w:pPr>
      <w:r w:rsidRPr="001E7A0B">
        <w:t>Screen vision regularly and when symptoms or signs of visual problems are noted, including changes in behavior and adaptive functioning.</w:t>
      </w:r>
    </w:p>
    <w:p w14:paraId="097E2DA5" w14:textId="087BADDA" w:rsidR="00766591" w:rsidRPr="001E7A0B" w:rsidRDefault="00766591" w:rsidP="00037975">
      <w:pPr>
        <w:pStyle w:val="Endnote-Bullet-L1"/>
      </w:pPr>
      <w:r w:rsidRPr="001E7A0B">
        <w:t>Refer to detect glaucoma and cataracts every 2 years after age 40</w:t>
      </w:r>
      <w:r w:rsidR="00104177">
        <w:t>.</w:t>
      </w:r>
    </w:p>
    <w:p w14:paraId="36053356" w14:textId="1689ABDC" w:rsidR="00766591" w:rsidRDefault="00766591" w:rsidP="00A05F23">
      <w:pPr>
        <w:pStyle w:val="Endnote-Context"/>
      </w:pPr>
      <w:r>
        <w:t>Before testing vision, have the person view the chart up close so they can identify each letter or image on the chart. Give a card with the same letters or images on the chart to patients who are unable or unwilling to respond verbally. This allows them to match the letters or images on the chart that is at a distance by pointing to the corresponding ones on the card they are holding.</w:t>
      </w:r>
    </w:p>
    <w:p w14:paraId="008F2BF5" w14:textId="77777777" w:rsidR="00766591" w:rsidRDefault="00766591" w:rsidP="005032B2">
      <w:pPr>
        <w:pStyle w:val="Endnote-Context"/>
        <w:spacing w:after="0"/>
      </w:pPr>
      <w:r>
        <w:t xml:space="preserve">Diagnostic methods applicable for various developmental ages (or Mental Age Equivalents): </w:t>
      </w:r>
    </w:p>
    <w:p w14:paraId="0F9614F2" w14:textId="08C50797" w:rsidR="00766591" w:rsidRDefault="00766591" w:rsidP="00922E91">
      <w:pPr>
        <w:pStyle w:val="Endnote-Bullet-L2"/>
        <w:shd w:val="clear" w:color="auto" w:fill="F2F2F2" w:themeFill="background1" w:themeFillShade="F2"/>
        <w:ind w:left="360" w:right="-84"/>
      </w:pPr>
      <w:r>
        <w:t xml:space="preserve">ocular inspection, eye movements, visual attention and fixation: &gt;2 months </w:t>
      </w:r>
    </w:p>
    <w:p w14:paraId="0BAE5193" w14:textId="58524587" w:rsidR="00766591" w:rsidRDefault="00766591" w:rsidP="00922E91">
      <w:pPr>
        <w:pStyle w:val="Endnote-Bullet-L2"/>
        <w:shd w:val="clear" w:color="auto" w:fill="F2F2F2" w:themeFill="background1" w:themeFillShade="F2"/>
        <w:ind w:left="360" w:right="-84"/>
      </w:pPr>
      <w:r>
        <w:t>visual fields (confrontation method): &gt;2 months</w:t>
      </w:r>
    </w:p>
    <w:p w14:paraId="397C2239" w14:textId="710EB791" w:rsidR="00766591" w:rsidRDefault="00766591" w:rsidP="00922E91">
      <w:pPr>
        <w:pStyle w:val="Endnote-Bullet-L2"/>
        <w:shd w:val="clear" w:color="auto" w:fill="F2F2F2" w:themeFill="background1" w:themeFillShade="F2"/>
        <w:ind w:left="360" w:right="-84"/>
      </w:pPr>
      <w:r>
        <w:t>picture chart (</w:t>
      </w:r>
      <w:proofErr w:type="spellStart"/>
      <w:r>
        <w:t>eg</w:t>
      </w:r>
      <w:proofErr w:type="spellEnd"/>
      <w:r>
        <w:t xml:space="preserve">, Patti Pics): &gt;3-4 years </w:t>
      </w:r>
    </w:p>
    <w:p w14:paraId="6A39AE2C" w14:textId="0BE16518" w:rsidR="00766591" w:rsidRDefault="00766591" w:rsidP="00922E91">
      <w:pPr>
        <w:pStyle w:val="Endnote-Bullet-L2"/>
        <w:shd w:val="clear" w:color="auto" w:fill="F2F2F2" w:themeFill="background1" w:themeFillShade="F2"/>
        <w:ind w:left="360" w:right="-84"/>
      </w:pPr>
      <w:r>
        <w:t xml:space="preserve">tumbling E: &gt;4-5 years </w:t>
      </w:r>
    </w:p>
    <w:p w14:paraId="4A1014FA" w14:textId="295D0FF5" w:rsidR="00766591" w:rsidRDefault="00766591" w:rsidP="00922E91">
      <w:pPr>
        <w:pStyle w:val="Endnote-Bullet-L2"/>
        <w:shd w:val="clear" w:color="auto" w:fill="F2F2F2" w:themeFill="background1" w:themeFillShade="F2"/>
        <w:ind w:left="360" w:right="-84"/>
      </w:pPr>
      <w:r>
        <w:t>Snellen chart: &gt;6 years</w:t>
      </w:r>
    </w:p>
  </w:endnote>
  <w:endnote w:id="39">
    <w:p w14:paraId="1C0183A0" w14:textId="33962D95" w:rsidR="00766591" w:rsidRDefault="00766591" w:rsidP="00D01397">
      <w:pPr>
        <w:pStyle w:val="Endnote-H4"/>
      </w:pPr>
      <w:r w:rsidRPr="004C2CF4">
        <w:rPr>
          <w:vertAlign w:val="superscript"/>
        </w:rPr>
        <w:endnoteRef/>
      </w:r>
      <w:r>
        <w:t xml:space="preserve"> </w:t>
      </w:r>
      <w:r w:rsidRPr="007B0BDC">
        <w:t>Ears, canals, hearing</w:t>
      </w:r>
    </w:p>
    <w:p w14:paraId="01234B46" w14:textId="5CDC76F4" w:rsidR="00766591" w:rsidRDefault="00766591" w:rsidP="00D01397">
      <w:pPr>
        <w:pStyle w:val="Endnote-Bullet-L1"/>
      </w:pPr>
      <w:r>
        <w:t>Screen for cerumen impaction.</w:t>
      </w:r>
    </w:p>
    <w:p w14:paraId="420B6E1B" w14:textId="10CC59CB" w:rsidR="00766591" w:rsidRDefault="00766591" w:rsidP="00D01397">
      <w:pPr>
        <w:pStyle w:val="Endnote-Bullet-L1"/>
      </w:pPr>
      <w:r>
        <w:t>Screen hearing annually and when symptoms or signs of hearing problems are noted, including changes in behavior and adaptive functioning.</w:t>
      </w:r>
      <w:r w:rsidRPr="00333E34">
        <w:t xml:space="preserve"> </w:t>
      </w:r>
    </w:p>
    <w:p w14:paraId="51EBD01E" w14:textId="67494F4F" w:rsidR="00766591" w:rsidRDefault="00766591" w:rsidP="00941025">
      <w:pPr>
        <w:pStyle w:val="Endnote-Bullet-L1"/>
      </w:pPr>
      <w:r w:rsidRPr="001E7A0B">
        <w:t>Refer for audiology if indicated by screening and for age-related hearing loss every 5 years after age 45.</w:t>
      </w:r>
    </w:p>
    <w:p w14:paraId="5E9BF27A" w14:textId="3A92C48E" w:rsidR="00766591" w:rsidRDefault="00766591" w:rsidP="00EA151E">
      <w:pPr>
        <w:pStyle w:val="Endnote-Context"/>
      </w:pPr>
      <w:r>
        <w:t>Cerumen impaction is more common in adults with IDD than in the general population.</w:t>
      </w:r>
    </w:p>
    <w:p w14:paraId="1FB21B86" w14:textId="77777777" w:rsidR="00766591" w:rsidRDefault="00766591" w:rsidP="00EA151E">
      <w:pPr>
        <w:pStyle w:val="Endnote-Context"/>
      </w:pPr>
      <w:r w:rsidRPr="001E7A0B">
        <w:t>Use the whispered speech test for individuals who are typically able to repeat a series of words. Modify your approach to accommodate specific needs (</w:t>
      </w:r>
      <w:proofErr w:type="spellStart"/>
      <w:r w:rsidRPr="001E7A0B">
        <w:t>eg</w:t>
      </w:r>
      <w:proofErr w:type="spellEnd"/>
      <w:r w:rsidRPr="001E7A0B">
        <w:t>, longer mental processing time, behavioral problems, or use of augmentative means to communicate).</w:t>
      </w:r>
    </w:p>
    <w:p w14:paraId="240EB9F8" w14:textId="19324A22" w:rsidR="00766591" w:rsidRDefault="00766591" w:rsidP="00EA151E">
      <w:pPr>
        <w:pStyle w:val="Endnote-Context"/>
      </w:pPr>
      <w:r>
        <w:t>Subjective audiometry in adults with developmental disabilities may require specially trained and experienced audiologists or speech and hearing therapists.</w:t>
      </w:r>
    </w:p>
  </w:endnote>
  <w:endnote w:id="40">
    <w:p w14:paraId="7B0267E9" w14:textId="4B2DFF4B" w:rsidR="00766591" w:rsidRDefault="00766591" w:rsidP="00EA151E">
      <w:pPr>
        <w:pStyle w:val="Endnote-H4"/>
      </w:pPr>
      <w:r w:rsidRPr="00EA151E">
        <w:rPr>
          <w:rStyle w:val="EndnoteTextChar"/>
          <w:rFonts w:ascii="Lato Black" w:hAnsi="Lato Black"/>
          <w:vertAlign w:val="superscript"/>
        </w:rPr>
        <w:endnoteRef/>
      </w:r>
      <w:r w:rsidRPr="00EA151E">
        <w:rPr>
          <w:vertAlign w:val="superscript"/>
        </w:rPr>
        <w:t xml:space="preserve"> </w:t>
      </w:r>
      <w:r w:rsidRPr="00333E34">
        <w:t>Teeth</w:t>
      </w:r>
    </w:p>
    <w:p w14:paraId="26594D02" w14:textId="2E441EDC" w:rsidR="00766591" w:rsidRDefault="00766591" w:rsidP="00EA151E">
      <w:pPr>
        <w:pStyle w:val="Endnote-Bullet-L1"/>
      </w:pPr>
      <w:r>
        <w:t>Inspect the oral cavity and teeth.</w:t>
      </w:r>
    </w:p>
    <w:p w14:paraId="4AEC06D7" w14:textId="0660B1C5" w:rsidR="00766591" w:rsidRDefault="00766591" w:rsidP="00EA151E">
      <w:pPr>
        <w:pStyle w:val="Endnote-Bullet-L1"/>
      </w:pPr>
      <w:r>
        <w:t>When dental erosions are detected assess for GERD.</w:t>
      </w:r>
    </w:p>
    <w:p w14:paraId="1317CB50" w14:textId="14A31FC5" w:rsidR="00766591" w:rsidRDefault="00766591" w:rsidP="00EA151E">
      <w:pPr>
        <w:pStyle w:val="Endnote-Context"/>
      </w:pPr>
      <w:r>
        <w:t>Reasons for poor oral health include difficulty with dental care activities (</w:t>
      </w:r>
      <w:proofErr w:type="spellStart"/>
      <w:r>
        <w:t>eg</w:t>
      </w:r>
      <w:proofErr w:type="spellEnd"/>
      <w:r>
        <w:t>, teeth brushing); impediments to accessing a dental professional regularly; decay caused by sweetened prescription medication; altered salivary flow caused by certain medical conditions or psychotropic medication; increased incidence of bruxism in certain medical conditions (</w:t>
      </w:r>
      <w:proofErr w:type="spellStart"/>
      <w:r>
        <w:t>eg</w:t>
      </w:r>
      <w:proofErr w:type="spellEnd"/>
      <w:r>
        <w:t>, cerebral palsy); overgrowth of gingival tissue caused by medication (</w:t>
      </w:r>
      <w:proofErr w:type="spellStart"/>
      <w:r>
        <w:t>eg</w:t>
      </w:r>
      <w:proofErr w:type="spellEnd"/>
      <w:r>
        <w:t>, Dilantin); orofacial malformations</w:t>
      </w:r>
      <w:r w:rsidR="00DC64BA">
        <w:t>.</w:t>
      </w:r>
    </w:p>
  </w:endnote>
  <w:endnote w:id="41">
    <w:p w14:paraId="1C579AAE" w14:textId="27348246" w:rsidR="00766591" w:rsidRDefault="00766591" w:rsidP="00EA151E">
      <w:pPr>
        <w:pStyle w:val="Endnote-H4"/>
      </w:pPr>
      <w:r w:rsidRPr="00EA151E">
        <w:rPr>
          <w:rStyle w:val="EndnoteTextChar"/>
          <w:rFonts w:ascii="Lato Black" w:hAnsi="Lato Black"/>
          <w:vertAlign w:val="superscript"/>
        </w:rPr>
        <w:endnoteRef/>
      </w:r>
      <w:r>
        <w:t xml:space="preserve"> </w:t>
      </w:r>
      <w:r w:rsidRPr="00333E34">
        <w:t>Neck, thyroid</w:t>
      </w:r>
    </w:p>
    <w:p w14:paraId="67D5BD55" w14:textId="6BC3B248" w:rsidR="00766591" w:rsidRPr="00A51A2C" w:rsidRDefault="00766591" w:rsidP="00C615DE">
      <w:pPr>
        <w:pStyle w:val="Endnote-Bullet-L1"/>
      </w:pPr>
      <w:r w:rsidRPr="00A51A2C">
        <w:t>TSH/T4 investigation annually if the patient has an elevated risk</w:t>
      </w:r>
      <w:r w:rsidR="00127457">
        <w:t>.</w:t>
      </w:r>
      <w:r w:rsidR="00C615DE" w:rsidRPr="00D93E1C">
        <w:t xml:space="preserve"> </w:t>
      </w:r>
    </w:p>
    <w:p w14:paraId="1B2EC39D" w14:textId="51068987" w:rsidR="00766591" w:rsidRDefault="00766591" w:rsidP="00C615DE">
      <w:pPr>
        <w:pStyle w:val="Endnote-Context"/>
      </w:pPr>
      <w:r>
        <w:t>Thyroid disease is more common in adults with IDD. E</w:t>
      </w:r>
      <w:r w:rsidRPr="00333E34">
        <w:t>levated risk (</w:t>
      </w:r>
      <w:proofErr w:type="spellStart"/>
      <w:r w:rsidRPr="00333E34">
        <w:t>eg</w:t>
      </w:r>
      <w:proofErr w:type="spellEnd"/>
      <w:r w:rsidRPr="00333E34">
        <w:t>, Down syndrome, or taking lithium or second-generation antipsychotic drugs), symptoms, or an unexplained behavior change</w:t>
      </w:r>
      <w:r w:rsidR="00DC64BA">
        <w:t>.</w:t>
      </w:r>
    </w:p>
  </w:endnote>
  <w:endnote w:id="42">
    <w:p w14:paraId="78379B02" w14:textId="2C8C7095" w:rsidR="00766591" w:rsidRDefault="00766591" w:rsidP="00EA151E">
      <w:pPr>
        <w:pStyle w:val="Endnote-H4"/>
      </w:pPr>
      <w:r w:rsidRPr="00EA151E">
        <w:rPr>
          <w:rStyle w:val="EndnoteTextChar"/>
          <w:rFonts w:ascii="Lato Black" w:hAnsi="Lato Black"/>
          <w:vertAlign w:val="superscript"/>
        </w:rPr>
        <w:endnoteRef/>
      </w:r>
      <w:r>
        <w:t xml:space="preserve"> </w:t>
      </w:r>
      <w:r w:rsidRPr="009D33D2">
        <w:t>Respiratory</w:t>
      </w:r>
    </w:p>
    <w:p w14:paraId="08428514" w14:textId="3D29148B" w:rsidR="00766591" w:rsidRDefault="00766591" w:rsidP="00EA151E">
      <w:pPr>
        <w:pStyle w:val="Endnote-Bullet-L1"/>
      </w:pPr>
      <w:r w:rsidRPr="00A51A2C">
        <w:t>For patients in a wheelchair, consider asking for assistance from caregivers to remove straps or trays and lean the patient forward for improved auscultation.</w:t>
      </w:r>
    </w:p>
    <w:p w14:paraId="7AF812B9" w14:textId="3B11E035" w:rsidR="00766591" w:rsidRDefault="00766591" w:rsidP="00EA151E">
      <w:pPr>
        <w:pStyle w:val="Endnote-Bullet-L1"/>
      </w:pPr>
      <w:r>
        <w:t>Observe swallowing.</w:t>
      </w:r>
    </w:p>
    <w:p w14:paraId="25177D57" w14:textId="455B7A95" w:rsidR="00766591" w:rsidRDefault="00766591" w:rsidP="00EA151E">
      <w:pPr>
        <w:pStyle w:val="Endnote-Context"/>
      </w:pPr>
      <w:r>
        <w:t>Respiratory disorders (</w:t>
      </w:r>
      <w:proofErr w:type="spellStart"/>
      <w:r>
        <w:t>eg</w:t>
      </w:r>
      <w:proofErr w:type="spellEnd"/>
      <w:r>
        <w:t>, asthma, COPD, aspiration leading to lung infections) are more common in adults with IDD; there may be evidence on physical examination.</w:t>
      </w:r>
    </w:p>
    <w:p w14:paraId="3757D999" w14:textId="18F5EA29" w:rsidR="00766591" w:rsidRDefault="00766591" w:rsidP="00EA151E">
      <w:pPr>
        <w:pStyle w:val="Endnote-Context"/>
      </w:pPr>
      <w:r>
        <w:t>Refer to speech and language pathologist to assess swallowing function when signs and symptoms of swallowing dysfunction are noted.</w:t>
      </w:r>
    </w:p>
  </w:endnote>
  <w:endnote w:id="43">
    <w:p w14:paraId="54F876CA" w14:textId="487863E7" w:rsidR="00766591" w:rsidRDefault="00766591" w:rsidP="00EA151E">
      <w:pPr>
        <w:pStyle w:val="Endnote-H4"/>
      </w:pPr>
      <w:r w:rsidRPr="00EA151E">
        <w:rPr>
          <w:rStyle w:val="EndnoteTextChar"/>
          <w:rFonts w:ascii="Lato Black" w:hAnsi="Lato Black"/>
          <w:vertAlign w:val="superscript"/>
        </w:rPr>
        <w:endnoteRef/>
      </w:r>
      <w:r>
        <w:t xml:space="preserve"> </w:t>
      </w:r>
      <w:r w:rsidRPr="009D33D2">
        <w:t>Cardiovascular</w:t>
      </w:r>
    </w:p>
    <w:p w14:paraId="5AF21173" w14:textId="54CE6EDB" w:rsidR="00766591" w:rsidRDefault="00766591" w:rsidP="00EA151E">
      <w:pPr>
        <w:pStyle w:val="Endnote-Bullet-L1"/>
      </w:pPr>
      <w:r>
        <w:t xml:space="preserve">Blood pressure measurement may be difficult in anxious patients with IDD. Consider having caregivers practice blood pressure measurement at home. </w:t>
      </w:r>
    </w:p>
    <w:p w14:paraId="13946277" w14:textId="0E7F9B1B" w:rsidR="00766591" w:rsidRDefault="00766591" w:rsidP="00EA151E">
      <w:pPr>
        <w:pStyle w:val="Endnote-Bullet-L1"/>
      </w:pPr>
      <w:r>
        <w:t xml:space="preserve">Assess for signs of CHF and cardiac decompensation. </w:t>
      </w:r>
    </w:p>
    <w:p w14:paraId="36F1CF84" w14:textId="2EE163B1" w:rsidR="00766591" w:rsidRDefault="00766591" w:rsidP="00EA151E">
      <w:pPr>
        <w:pStyle w:val="Endnote-Context"/>
      </w:pPr>
      <w:r w:rsidRPr="00A51A2C">
        <w:t>Cardiac disorders are prevalent among adults with IDD.</w:t>
      </w:r>
      <w:r>
        <w:t xml:space="preserve"> If detected, </w:t>
      </w:r>
      <w:r w:rsidRPr="00A51A2C">
        <w:t>consider referral to cardiology or, if the cause is congenital heart disease, to an adult congenital heart disease clinic. Consult the Canadian Congenital Heart Alliance for clinic locations.</w:t>
      </w:r>
    </w:p>
  </w:endnote>
  <w:endnote w:id="44">
    <w:p w14:paraId="2ACDF5CE" w14:textId="0BA99D7B" w:rsidR="00766591" w:rsidRDefault="00766591" w:rsidP="00EA151E">
      <w:pPr>
        <w:pStyle w:val="Endnote-H4"/>
      </w:pPr>
      <w:r w:rsidRPr="00EA151E">
        <w:rPr>
          <w:rStyle w:val="Endnote-Superscript"/>
          <w:rFonts w:ascii="Lato Black" w:hAnsi="Lato Black"/>
        </w:rPr>
        <w:endnoteRef/>
      </w:r>
      <w:r>
        <w:t xml:space="preserve"> </w:t>
      </w:r>
      <w:r w:rsidRPr="009D33D2">
        <w:t>Genitourinary and gynecological</w:t>
      </w:r>
      <w:r>
        <w:t xml:space="preserve"> </w:t>
      </w:r>
    </w:p>
    <w:p w14:paraId="6C31108B" w14:textId="3FD3A19E" w:rsidR="00766591" w:rsidRDefault="00766591" w:rsidP="00620310">
      <w:pPr>
        <w:pStyle w:val="Endnote-Context"/>
      </w:pPr>
      <w:r w:rsidRPr="009D33D2">
        <w:t>Th</w:t>
      </w:r>
      <w:r>
        <w:t xml:space="preserve">ese examinations should follow a trauma-informed approach. </w:t>
      </w:r>
      <w:r w:rsidRPr="002C2620">
        <w:t>Consider providing easy-to-read patient information leaflets for cervical screening; see links below.</w:t>
      </w:r>
      <w:r>
        <w:t xml:space="preserve"> Consider the pros and cons of breast and testicular examinations in adults with IDD. For patients who have been sexually active, inspect the perineum and obtain tests for STIs as per guidelines for the general population; a </w:t>
      </w:r>
      <w:r w:rsidRPr="002C2620">
        <w:t>vaginal speculum is not necessary</w:t>
      </w:r>
      <w:r>
        <w:t>.</w:t>
      </w:r>
    </w:p>
    <w:p w14:paraId="31549231" w14:textId="29FF334F" w:rsidR="00766591" w:rsidRDefault="004A2825" w:rsidP="00EA151E">
      <w:pPr>
        <w:pStyle w:val="Endnote-H5"/>
      </w:pPr>
      <w:r>
        <w:t>PRACTICE TOOLS</w:t>
      </w:r>
    </w:p>
    <w:p w14:paraId="4762FDB1" w14:textId="60A60EF9" w:rsidR="00766591" w:rsidRPr="00655DA8" w:rsidRDefault="004D4F03" w:rsidP="005E02E8">
      <w:pPr>
        <w:pStyle w:val="Endnote-Link"/>
        <w:spacing w:before="0"/>
        <w:rPr>
          <w:b/>
        </w:rPr>
      </w:pPr>
      <w:hyperlink r:id="rId44" w:history="1">
        <w:proofErr w:type="spellStart"/>
        <w:r w:rsidR="00766591" w:rsidRPr="00D93E1C">
          <w:rPr>
            <w:rStyle w:val="Hyperlink"/>
            <w:lang w:val="en-US"/>
          </w:rPr>
          <w:t>EasyHealth</w:t>
        </w:r>
        <w:proofErr w:type="spellEnd"/>
      </w:hyperlink>
      <w:r w:rsidR="00766591">
        <w:t xml:space="preserve"> easy-to-read leaflets on multiple health topics </w:t>
      </w:r>
      <w:r w:rsidR="00655DA8" w:rsidRPr="00D93E1C">
        <w:t xml:space="preserve">by </w:t>
      </w:r>
      <w:proofErr w:type="spellStart"/>
      <w:r w:rsidR="00655DA8" w:rsidRPr="00D93E1C">
        <w:t>EasyHealth</w:t>
      </w:r>
      <w:proofErr w:type="spellEnd"/>
      <w:r w:rsidR="00655DA8" w:rsidRPr="00D93E1C">
        <w:t xml:space="preserve">, Generate Opportunities Ltd., UK. (Access </w:t>
      </w:r>
      <w:r w:rsidR="00766591">
        <w:t>to this website is free but requires simple registration</w:t>
      </w:r>
      <w:r w:rsidR="00655DA8" w:rsidRPr="00D93E1C">
        <w:t>).</w:t>
      </w:r>
    </w:p>
  </w:endnote>
  <w:endnote w:id="45">
    <w:p w14:paraId="1D151516" w14:textId="6C4D2D85" w:rsidR="00766591" w:rsidRDefault="00766591" w:rsidP="00EA151E">
      <w:pPr>
        <w:pStyle w:val="Endnote-H4"/>
      </w:pPr>
      <w:r w:rsidRPr="00EA151E">
        <w:rPr>
          <w:rStyle w:val="EndnoteTextChar"/>
          <w:rFonts w:ascii="Lato Black" w:hAnsi="Lato Black"/>
          <w:vertAlign w:val="superscript"/>
        </w:rPr>
        <w:endnoteRef/>
      </w:r>
      <w:r>
        <w:t xml:space="preserve"> </w:t>
      </w:r>
      <w:r w:rsidRPr="002C2620">
        <w:t>Musculoskeletal</w:t>
      </w:r>
    </w:p>
    <w:p w14:paraId="6AD1C7E9" w14:textId="73827074" w:rsidR="00B7084E" w:rsidRPr="00D93E1C" w:rsidRDefault="00B7084E" w:rsidP="00B7084E">
      <w:pPr>
        <w:pStyle w:val="Endnote-Bullet-L1"/>
      </w:pPr>
      <w:r w:rsidRPr="00D93E1C">
        <w:t>Examine feet and ensure footwear fits properly. Check for tinea and ingrown toenails.</w:t>
      </w:r>
    </w:p>
    <w:p w14:paraId="1C9A2C87" w14:textId="455B02AF" w:rsidR="00766591" w:rsidRDefault="00766591" w:rsidP="00EA151E">
      <w:pPr>
        <w:pStyle w:val="Endnote-Context"/>
      </w:pPr>
      <w:r>
        <w:t>Musculoskeletal disorders (</w:t>
      </w:r>
      <w:proofErr w:type="spellStart"/>
      <w:r>
        <w:t>eg</w:t>
      </w:r>
      <w:proofErr w:type="spellEnd"/>
      <w:r>
        <w:t xml:space="preserve">, scoliosis, contractures, spasticity, and ligamentous laxity) are possible sources of unrecognized pain and occur frequently among people with IDD, especially those with cerebral palsy. Documentation of </w:t>
      </w:r>
      <w:r w:rsidRPr="00990B92">
        <w:t>baseline status regarding mobility and contractures will help identify future progression</w:t>
      </w:r>
      <w:r w:rsidR="008F6B9C" w:rsidRPr="00D93E1C">
        <w:t>.</w:t>
      </w:r>
    </w:p>
  </w:endnote>
  <w:endnote w:id="46">
    <w:p w14:paraId="6B245F0C" w14:textId="059C794D" w:rsidR="00766591" w:rsidRDefault="00766591" w:rsidP="00EA151E">
      <w:pPr>
        <w:pStyle w:val="Endnote-H4"/>
      </w:pPr>
      <w:r w:rsidRPr="004E57BC">
        <w:rPr>
          <w:rStyle w:val="EndnoteTextChar"/>
          <w:rFonts w:ascii="Lato Black" w:hAnsi="Lato Black"/>
          <w:vertAlign w:val="superscript"/>
        </w:rPr>
        <w:endnoteRef/>
      </w:r>
      <w:r>
        <w:t xml:space="preserve"> </w:t>
      </w:r>
      <w:r w:rsidRPr="002C2620">
        <w:t>Neurological</w:t>
      </w:r>
    </w:p>
    <w:p w14:paraId="6D5F30FD" w14:textId="08469490" w:rsidR="00766591" w:rsidRDefault="00766591" w:rsidP="00EA151E">
      <w:pPr>
        <w:pStyle w:val="Endnote-Bullet-L1"/>
      </w:pPr>
      <w:r w:rsidRPr="00BB5D1C">
        <w:t>Identify any focal/localizing neurological findings that are likely long standing or present from birth but significant in terms of etiology and associated recommended neuroimaging.</w:t>
      </w:r>
    </w:p>
    <w:p w14:paraId="77E74DD2" w14:textId="13D15651" w:rsidR="00766591" w:rsidRDefault="00766591" w:rsidP="00EA151E">
      <w:pPr>
        <w:pStyle w:val="Endnote-Bullet-L1"/>
      </w:pPr>
      <w:r>
        <w:t xml:space="preserve">Identify any new focal/localizing neurological findings, including new or changed seizures, that could indicate new CNS injury. </w:t>
      </w:r>
    </w:p>
    <w:p w14:paraId="7FA1717D" w14:textId="69FEA623" w:rsidR="00766591" w:rsidRDefault="00766591" w:rsidP="00EA151E">
      <w:pPr>
        <w:pStyle w:val="Endnote-Bullet-L1"/>
      </w:pPr>
      <w:r w:rsidRPr="00BB5D1C">
        <w:t>Identify any new general neurological changes (not localizing) that could indicate new CNS injury or degenerative condition (</w:t>
      </w:r>
      <w:proofErr w:type="spellStart"/>
      <w:r w:rsidRPr="00BB5D1C">
        <w:t>eg</w:t>
      </w:r>
      <w:proofErr w:type="spellEnd"/>
      <w:r w:rsidRPr="00BB5D1C">
        <w:t>, change in gait, balance issues, parkinsonism, generalized weakness, somnolence</w:t>
      </w:r>
      <w:r>
        <w:t xml:space="preserve">, </w:t>
      </w:r>
      <w:r w:rsidRPr="005F0044">
        <w:t>new o</w:t>
      </w:r>
      <w:r>
        <w:t>r</w:t>
      </w:r>
      <w:r w:rsidRPr="005F0044">
        <w:t xml:space="preserve"> change in seizur</w:t>
      </w:r>
      <w:r>
        <w:t>e</w:t>
      </w:r>
      <w:r w:rsidRPr="005F0044">
        <w:t>s</w:t>
      </w:r>
      <w:r w:rsidRPr="00BB5D1C">
        <w:t>).</w:t>
      </w:r>
    </w:p>
    <w:p w14:paraId="78214287" w14:textId="662F9076" w:rsidR="00766591" w:rsidRDefault="00766591" w:rsidP="00795417">
      <w:pPr>
        <w:pStyle w:val="Endnote-Context"/>
      </w:pPr>
      <w:r>
        <w:t xml:space="preserve">Ensure that knowledge of the patient’s baseline neurological findings, including seizures are well documented so that change can be identified. </w:t>
      </w:r>
    </w:p>
  </w:endnote>
  <w:endnote w:id="47">
    <w:p w14:paraId="5B53190A" w14:textId="5CD93802" w:rsidR="00766591" w:rsidRDefault="00766591" w:rsidP="00795417">
      <w:pPr>
        <w:pStyle w:val="Endnote-H4"/>
      </w:pPr>
      <w:r w:rsidRPr="004E57BC">
        <w:rPr>
          <w:rStyle w:val="EndnoteTextChar"/>
          <w:rFonts w:ascii="Lato Black" w:hAnsi="Lato Black"/>
          <w:vertAlign w:val="superscript"/>
        </w:rPr>
        <w:endnoteRef/>
      </w:r>
      <w:r w:rsidRPr="004E57BC">
        <w:rPr>
          <w:vertAlign w:val="superscript"/>
        </w:rPr>
        <w:t xml:space="preserve"> </w:t>
      </w:r>
      <w:r w:rsidRPr="002F3F58">
        <w:t>Mental status</w:t>
      </w:r>
    </w:p>
    <w:p w14:paraId="774EA814" w14:textId="4D9B642C" w:rsidR="00766591" w:rsidRDefault="00766591" w:rsidP="008F6B9C">
      <w:pPr>
        <w:pStyle w:val="Endnote-Bullet-L1"/>
      </w:pPr>
      <w:r>
        <w:t xml:space="preserve">See tips and </w:t>
      </w:r>
      <w:r w:rsidR="004A2825">
        <w:t>PRACTICE TOOLS</w:t>
      </w:r>
      <w:r>
        <w:t xml:space="preserve"> regarding Mental Health, </w:t>
      </w:r>
      <w:proofErr w:type="spellStart"/>
      <w:r>
        <w:t>Behaviours</w:t>
      </w:r>
      <w:proofErr w:type="spellEnd"/>
      <w:r>
        <w:t xml:space="preserve"> that Challenge and Dementia under Review of Systems</w:t>
      </w:r>
      <w:r w:rsidR="00127457">
        <w:t>.</w:t>
      </w:r>
    </w:p>
  </w:endnote>
  <w:endnote w:id="48">
    <w:p w14:paraId="73FCF2FA" w14:textId="69C03315" w:rsidR="00766591" w:rsidRDefault="00766591" w:rsidP="00795417">
      <w:pPr>
        <w:pStyle w:val="Endnote-H4"/>
      </w:pPr>
      <w:r w:rsidRPr="00170458">
        <w:rPr>
          <w:vertAlign w:val="superscript"/>
        </w:rPr>
        <w:endnoteRef/>
      </w:r>
      <w:r>
        <w:t xml:space="preserve"> </w:t>
      </w:r>
      <w:r w:rsidRPr="00DD6110">
        <w:t>Skin</w:t>
      </w:r>
    </w:p>
    <w:p w14:paraId="4A02642B" w14:textId="39EA0706" w:rsidR="00766591" w:rsidRDefault="00766591" w:rsidP="00795417">
      <w:pPr>
        <w:pStyle w:val="Endnote-Bullet-L1"/>
      </w:pPr>
      <w:r>
        <w:t xml:space="preserve">For patients with limited mobility or those who are in wheelchairs, check for pressure-related skin changes and ulcers. </w:t>
      </w:r>
    </w:p>
    <w:p w14:paraId="58C9AF7E" w14:textId="71405E74" w:rsidR="00766591" w:rsidRDefault="00766591" w:rsidP="00795417">
      <w:pPr>
        <w:pStyle w:val="Endnote-Bullet-L1"/>
      </w:pPr>
      <w:r>
        <w:t>Check skin affected by contractures for infection or ulceration.</w:t>
      </w:r>
    </w:p>
    <w:p w14:paraId="4EBE944C" w14:textId="503B9AC6" w:rsidR="00766591" w:rsidRDefault="00766591" w:rsidP="001A51DF">
      <w:pPr>
        <w:pStyle w:val="Endnote-Bullet-L1"/>
      </w:pPr>
      <w:r>
        <w:t>Check for tinea and other infections in skin folds of obese individuals.</w:t>
      </w:r>
    </w:p>
  </w:endnote>
  <w:endnote w:id="49">
    <w:p w14:paraId="2045ECCD" w14:textId="2821C41C" w:rsidR="0016538B" w:rsidRDefault="0016538B" w:rsidP="00795417">
      <w:pPr>
        <w:pStyle w:val="Endnote-H4"/>
      </w:pPr>
      <w:r w:rsidRPr="00EA02C4">
        <w:rPr>
          <w:vertAlign w:val="superscript"/>
        </w:rPr>
        <w:endnoteRef/>
      </w:r>
      <w:r w:rsidRPr="00EA02C4">
        <w:rPr>
          <w:vertAlign w:val="superscript"/>
        </w:rPr>
        <w:t xml:space="preserve"> </w:t>
      </w:r>
      <w:r w:rsidRPr="008D58A1">
        <w:t>Assessment and Plan</w:t>
      </w:r>
    </w:p>
    <w:p w14:paraId="359A2F11" w14:textId="3BB378C7" w:rsidR="0016538B" w:rsidRPr="00A8352B" w:rsidRDefault="0016538B" w:rsidP="00795417">
      <w:pPr>
        <w:pStyle w:val="Endnote-Bullet-L1"/>
      </w:pPr>
      <w:r>
        <w:t xml:space="preserve">List issues identified in the previous steps in the Health Check. </w:t>
      </w:r>
      <w:r w:rsidRPr="00A8352B">
        <w:t xml:space="preserve">Identify the </w:t>
      </w:r>
      <w:r>
        <w:t xml:space="preserve">plan and the </w:t>
      </w:r>
      <w:r w:rsidRPr="00A8352B">
        <w:t>supports needed</w:t>
      </w:r>
      <w:r>
        <w:t xml:space="preserve"> by the individual to accomplish </w:t>
      </w:r>
      <w:r w:rsidRPr="00A8352B">
        <w:t xml:space="preserve">each item. </w:t>
      </w:r>
    </w:p>
    <w:p w14:paraId="770C7AA9" w14:textId="3808C49A" w:rsidR="0016538B" w:rsidRPr="00A8352B" w:rsidRDefault="0016538B" w:rsidP="00795417">
      <w:pPr>
        <w:pStyle w:val="Endnote-Bullet-L1"/>
      </w:pPr>
      <w:r w:rsidRPr="00A8352B">
        <w:t>Consider the r</w:t>
      </w:r>
      <w:r>
        <w:t>esponsibilities</w:t>
      </w:r>
      <w:r w:rsidRPr="00A8352B">
        <w:t xml:space="preserve"> of patients</w:t>
      </w:r>
      <w:r>
        <w:t xml:space="preserve"> and </w:t>
      </w:r>
      <w:r w:rsidRPr="00A8352B">
        <w:t xml:space="preserve">caregivers, </w:t>
      </w:r>
      <w:r>
        <w:t xml:space="preserve">family physician and team, </w:t>
      </w:r>
      <w:r w:rsidRPr="00A8352B">
        <w:t>referrals, if possible, and engagement with the health and social services systems</w:t>
      </w:r>
      <w:r>
        <w:t>,</w:t>
      </w:r>
      <w:r w:rsidRPr="00A8352B">
        <w:t xml:space="preserve"> to share the work of the plan. Identify who is responsible for specific tasks and timelines.</w:t>
      </w:r>
    </w:p>
    <w:p w14:paraId="34CA9D48" w14:textId="009CE674" w:rsidR="0016538B" w:rsidRDefault="0016538B" w:rsidP="00795417">
      <w:pPr>
        <w:pStyle w:val="Endnote-Bullet-L1"/>
      </w:pPr>
      <w:r w:rsidRPr="00A8352B">
        <w:t>Copy the plan for the patient or complete the Plan section of the My Health Care Visit form for patient to keep.</w:t>
      </w:r>
    </w:p>
    <w:p w14:paraId="1185D9E9" w14:textId="0C636FF6" w:rsidR="0016538B" w:rsidRDefault="0016538B" w:rsidP="004E57BC">
      <w:pPr>
        <w:pStyle w:val="Endnote-Context"/>
      </w:pPr>
      <w:r>
        <w:t xml:space="preserve">The scope of supports and planning </w:t>
      </w:r>
      <w:r w:rsidR="00892F2E" w:rsidRPr="00D93E1C">
        <w:t>can</w:t>
      </w:r>
      <w:r>
        <w:t xml:space="preserve"> be framed in the following 5 areas: Health habits and lifestyle issues to promote or reduce/stop; Comorbid medical problems and the supports needed to manage them; New symptoms/signs to follow-up; Prevention/screening recommended; Health decision-making and advance care planning, including for life transitions (</w:t>
      </w:r>
      <w:proofErr w:type="spellStart"/>
      <w:r w:rsidR="00892F2E" w:rsidRPr="00D93E1C">
        <w:t>eg</w:t>
      </w:r>
      <w:proofErr w:type="spellEnd"/>
      <w:r w:rsidR="00892F2E" w:rsidRPr="00D93E1C">
        <w:t>,</w:t>
      </w:r>
      <w:r>
        <w:t xml:space="preserve"> from school age to young adulthood). </w:t>
      </w:r>
    </w:p>
  </w:endnote>
  <w:endnote w:id="50">
    <w:p w14:paraId="494641F3" w14:textId="2CC69E24" w:rsidR="00A95AC1" w:rsidRDefault="00A95AC1" w:rsidP="004E57BC">
      <w:pPr>
        <w:pStyle w:val="Endnote-H4"/>
      </w:pPr>
      <w:r>
        <w:rPr>
          <w:rStyle w:val="EndnoteReference"/>
        </w:rPr>
        <w:endnoteRef/>
      </w:r>
      <w:r>
        <w:t xml:space="preserve"> </w:t>
      </w:r>
      <w:r w:rsidRPr="00DD6110">
        <w:t>Medication list updated</w:t>
      </w:r>
    </w:p>
    <w:p w14:paraId="275CF63F" w14:textId="6E20FD37" w:rsidR="00A95AC1" w:rsidRDefault="00A95AC1" w:rsidP="00892F2E">
      <w:pPr>
        <w:pStyle w:val="Endnote-Bullet-L1"/>
      </w:pPr>
      <w:r>
        <w:t>Ensure that the medication list in the patient’s record or EMR matches what he/she is actually taking. Consult a pharmacist or other member of the health team clinic nursing staff to reconcile and review medication.</w:t>
      </w:r>
    </w:p>
    <w:p w14:paraId="345FA91A" w14:textId="029F071E" w:rsidR="00A95AC1" w:rsidRDefault="00A95AC1" w:rsidP="00892F2E">
      <w:pPr>
        <w:pStyle w:val="Endnote-Bullet-L1"/>
      </w:pPr>
      <w:r>
        <w:t xml:space="preserve">Review psychotropic and antipsychotic medications. </w:t>
      </w:r>
    </w:p>
    <w:p w14:paraId="54E71898" w14:textId="29E0BF2D" w:rsidR="00A95AC1" w:rsidRDefault="00A95AC1" w:rsidP="00892F2E">
      <w:pPr>
        <w:pStyle w:val="Endnote-Bullet-L1"/>
      </w:pPr>
      <w:r>
        <w:t>If a medication is stopped due to resolution of the issue, failure or adverse effects, note the outcome in the patient’s CPP.</w:t>
      </w:r>
    </w:p>
    <w:p w14:paraId="71A8683E" w14:textId="00C66510" w:rsidR="00A95AC1" w:rsidRDefault="004A2825" w:rsidP="00DE23A4">
      <w:pPr>
        <w:pStyle w:val="Endnote-H5"/>
      </w:pPr>
      <w:r>
        <w:t>PRACTICE TOOLS</w:t>
      </w:r>
    </w:p>
    <w:p w14:paraId="4A4B632E" w14:textId="70DEBD5C" w:rsidR="00A95AC1" w:rsidRDefault="004D4F03" w:rsidP="00DE23A4">
      <w:pPr>
        <w:pStyle w:val="Endnote-Link"/>
      </w:pPr>
      <w:hyperlink r:id="rId45" w:history="1">
        <w:r w:rsidR="00A95AC1" w:rsidRPr="002C0A6E">
          <w:rPr>
            <w:rStyle w:val="Hyperlink"/>
          </w:rPr>
          <w:t>Auditing Psychotropic Medication</w:t>
        </w:r>
      </w:hyperlink>
    </w:p>
  </w:endnote>
  <w:endnote w:id="51">
    <w:p w14:paraId="3D110E22" w14:textId="70D080F9" w:rsidR="00A95AC1" w:rsidRDefault="00A95AC1" w:rsidP="009D2157">
      <w:pPr>
        <w:pStyle w:val="Endnote-H4"/>
      </w:pPr>
      <w:r>
        <w:rPr>
          <w:rStyle w:val="EndnoteReference"/>
        </w:rPr>
        <w:endnoteRef/>
      </w:r>
      <w:r>
        <w:t xml:space="preserve"> </w:t>
      </w:r>
      <w:r w:rsidRPr="002C0A6E">
        <w:t>Laboratory and other investigations planned</w:t>
      </w:r>
    </w:p>
    <w:p w14:paraId="5257F9A7" w14:textId="610076F2" w:rsidR="00A95AC1" w:rsidRDefault="00A95AC1" w:rsidP="008641CB">
      <w:pPr>
        <w:pStyle w:val="Endnote-Bullet-L1"/>
      </w:pPr>
      <w:r>
        <w:t>Based on risk factors identified, consider screening for: type 2 diabetes (at earlier age than general population), STI (if at risk/abuse), TSH (annually if high risk), H Pylori (if group residence or history; q3-5y), vision (q2y&gt;40), audiology (q5y&gt;45), dental (q6m). Consider baseline CBC to identify changes when later unwell.</w:t>
      </w:r>
    </w:p>
    <w:p w14:paraId="7D802F2D" w14:textId="1C4CEE4F" w:rsidR="008641CB" w:rsidRDefault="004A2825" w:rsidP="008641CB">
      <w:pPr>
        <w:pStyle w:val="Endnote-H5"/>
      </w:pPr>
      <w:r>
        <w:t>PRACTICE TOOLS</w:t>
      </w:r>
      <w:r w:rsidR="00A95AC1">
        <w:t xml:space="preserve"> </w:t>
      </w:r>
    </w:p>
    <w:p w14:paraId="7B31E98E" w14:textId="5ED88910" w:rsidR="00A95AC1" w:rsidRDefault="008641CB" w:rsidP="008641CB">
      <w:pPr>
        <w:pStyle w:val="Endnote-Link"/>
      </w:pPr>
      <w:r>
        <w:t>F</w:t>
      </w:r>
      <w:r w:rsidR="00A95AC1">
        <w:t xml:space="preserve">or people with known syndromes </w:t>
      </w:r>
    </w:p>
    <w:p w14:paraId="63B49242" w14:textId="5E9614D5" w:rsidR="00A95AC1" w:rsidRDefault="004D4F03" w:rsidP="00F40DD5">
      <w:pPr>
        <w:pStyle w:val="Endnote-Link"/>
      </w:pPr>
      <w:hyperlink r:id="rId46" w:history="1">
        <w:r w:rsidR="00A95AC1" w:rsidRPr="00B8044B">
          <w:rPr>
            <w:rStyle w:val="Hyperlink"/>
          </w:rPr>
          <w:t>Health Watch Tables</w:t>
        </w:r>
      </w:hyperlink>
    </w:p>
  </w:endnote>
  <w:endnote w:id="52">
    <w:p w14:paraId="5BED4D7D" w14:textId="13C8536D" w:rsidR="00A95AC1" w:rsidRDefault="00A95AC1" w:rsidP="00F40DD5">
      <w:pPr>
        <w:pStyle w:val="Endnote-H4"/>
      </w:pPr>
      <w:r>
        <w:rPr>
          <w:rStyle w:val="EndnoteReference"/>
        </w:rPr>
        <w:endnoteRef/>
      </w:r>
      <w:r>
        <w:t xml:space="preserve"> </w:t>
      </w:r>
      <w:r w:rsidRPr="002C0A6E">
        <w:t>Preventive or screening maneuvers planned</w:t>
      </w:r>
    </w:p>
    <w:p w14:paraId="0825F863" w14:textId="55A88A10" w:rsidR="00A95AC1" w:rsidRDefault="00A95AC1" w:rsidP="00F40DD5">
      <w:pPr>
        <w:pStyle w:val="Endnote-Bullet-L1"/>
      </w:pPr>
      <w:r w:rsidRPr="00883C12">
        <w:t>Cancer:</w:t>
      </w:r>
      <w:r>
        <w:t xml:space="preserve"> screen based on risk factors identified above for breast (mammogram), cervical (Pap smear), and colorectal cancer (FOBT/FIT or colonoscopy</w:t>
      </w:r>
      <w:r w:rsidR="009B2D25" w:rsidRPr="00D93E1C">
        <w:t>)</w:t>
      </w:r>
      <w:r w:rsidR="002A3572">
        <w:t>.</w:t>
      </w:r>
    </w:p>
    <w:p w14:paraId="33B6A770" w14:textId="6CA38A5A" w:rsidR="00A95AC1" w:rsidRDefault="00A95AC1" w:rsidP="00F40DD5">
      <w:pPr>
        <w:pStyle w:val="Endnote-Bullet-L1"/>
      </w:pPr>
      <w:r w:rsidRPr="00883C12">
        <w:t>Infectious diseases</w:t>
      </w:r>
      <w:r w:rsidRPr="009B2D25">
        <w:rPr>
          <w:u w:val="single"/>
        </w:rPr>
        <w:t>:</w:t>
      </w:r>
      <w:r>
        <w:t xml:space="preserve"> screen based on risk factors identified above for Tb, hepatitis A, hepatitis B, hepatitis C, H. Pylori, and STI’s (including HIV</w:t>
      </w:r>
      <w:r w:rsidR="009B2D25" w:rsidRPr="00D93E1C">
        <w:t>)</w:t>
      </w:r>
      <w:r>
        <w:t xml:space="preserve"> </w:t>
      </w:r>
    </w:p>
    <w:p w14:paraId="01423361" w14:textId="3DC56ACB" w:rsidR="009B2D25" w:rsidRPr="00D93E1C" w:rsidRDefault="009B2D25" w:rsidP="00AC5120">
      <w:pPr>
        <w:pStyle w:val="Endnote-Bullet-L2"/>
      </w:pPr>
      <w:r w:rsidRPr="00D93E1C">
        <w:t xml:space="preserve">As a harm-reduction approach for patients at high risk of exposure to STIs, including HIV, screen regularly (every 3 </w:t>
      </w:r>
      <w:proofErr w:type="spellStart"/>
      <w:r w:rsidRPr="00D93E1C">
        <w:t>mo</w:t>
      </w:r>
      <w:proofErr w:type="spellEnd"/>
      <w:r w:rsidRPr="00D93E1C">
        <w:t>) and treat if cultures are positive. Counsel regarding harm reduction methods and offer HIV prophylaxis as per guidelines for the general population</w:t>
      </w:r>
      <w:r w:rsidR="002A3572">
        <w:t>.</w:t>
      </w:r>
    </w:p>
    <w:p w14:paraId="63B9D2D9" w14:textId="599EC590" w:rsidR="00A95AC1" w:rsidRDefault="00A95AC1" w:rsidP="00F40DD5">
      <w:pPr>
        <w:pStyle w:val="Endnote-Bullet-L1"/>
      </w:pPr>
      <w:r>
        <w:t>Fragility fractures: assess fracture risk using bone mineral density (BMD) testing of male and female patients in early adulthood (adapt BMD testing if needed). Counsel regarding daily intake of Vitamin D and calcium (no calcium supplements for people with Williams syndrome</w:t>
      </w:r>
      <w:r w:rsidR="009B2D25" w:rsidRPr="00D93E1C">
        <w:t>)</w:t>
      </w:r>
      <w:r w:rsidR="002A3572">
        <w:t>.</w:t>
      </w:r>
      <w:r>
        <w:t xml:space="preserve"> </w:t>
      </w:r>
    </w:p>
    <w:p w14:paraId="6ADABB07" w14:textId="3B0DFAA8" w:rsidR="00A95AC1" w:rsidRDefault="00A95AC1" w:rsidP="00F40DD5">
      <w:pPr>
        <w:pStyle w:val="Endnote-Bullet-L1"/>
      </w:pPr>
      <w:r>
        <w:t>Cardiovascular risks: use a cardiovascular-risk calculator to determine the patient’s risk category (</w:t>
      </w:r>
      <w:proofErr w:type="spellStart"/>
      <w:r>
        <w:t>eg</w:t>
      </w:r>
      <w:proofErr w:type="spellEnd"/>
      <w:r>
        <w:t>, Framingham Risk Score). Provide counselling and other interventions based on scores according to general population guidelines. When recommending medications for primary prevention, consider whether polypharmacy is a risk</w:t>
      </w:r>
      <w:r w:rsidR="002A3572">
        <w:t>.</w:t>
      </w:r>
    </w:p>
    <w:p w14:paraId="003CA322" w14:textId="2255D49A" w:rsidR="00A95AC1" w:rsidRDefault="00A95AC1" w:rsidP="001A51DF">
      <w:pPr>
        <w:pStyle w:val="Endnote-Bullet-L1"/>
      </w:pPr>
      <w:r>
        <w:t xml:space="preserve">Mental Health: screen annually for abuse, exploitation, neglect, and addictions or whenever there is a change in level of functioning or </w:t>
      </w:r>
      <w:proofErr w:type="spellStart"/>
      <w:r>
        <w:t>behaviour</w:t>
      </w:r>
      <w:proofErr w:type="spellEnd"/>
      <w:r w:rsidR="002A3572">
        <w:t>.</w:t>
      </w:r>
      <w:r>
        <w:t xml:space="preserve"> </w:t>
      </w:r>
    </w:p>
  </w:endnote>
  <w:endnote w:id="53">
    <w:p w14:paraId="25A9F156" w14:textId="16E9984D" w:rsidR="00A95AC1" w:rsidRDefault="00A95AC1" w:rsidP="00281004">
      <w:pPr>
        <w:pStyle w:val="Endnote-H4"/>
      </w:pPr>
      <w:r>
        <w:rPr>
          <w:rStyle w:val="EndnoteReference"/>
        </w:rPr>
        <w:endnoteRef/>
      </w:r>
      <w:r>
        <w:t xml:space="preserve"> </w:t>
      </w:r>
      <w:r w:rsidRPr="00B8044B">
        <w:t>Immunizations needed</w:t>
      </w:r>
    </w:p>
    <w:p w14:paraId="44E01FF0" w14:textId="701610A1" w:rsidR="00A95AC1" w:rsidRDefault="00A95AC1" w:rsidP="005B59AB">
      <w:pPr>
        <w:pStyle w:val="Endnote-Bullet-L1"/>
      </w:pPr>
      <w:r>
        <w:t>Immunize based on immune status and risk factors identified for: rubella, tetanus, pertussis, influenza, streptococcus pneumoniae, hepatitis A, hepatitis B, varicella, herpes zoster, human papilloma virus and COVID.</w:t>
      </w:r>
    </w:p>
  </w:endnote>
  <w:endnote w:id="54">
    <w:p w14:paraId="67D05505" w14:textId="6C004A9E" w:rsidR="00A95AC1" w:rsidRDefault="00A95AC1" w:rsidP="00281004">
      <w:pPr>
        <w:pStyle w:val="Endnote-H4"/>
      </w:pPr>
      <w:r>
        <w:rPr>
          <w:rStyle w:val="EndnoteReference"/>
        </w:rPr>
        <w:endnoteRef/>
      </w:r>
      <w:r>
        <w:t xml:space="preserve"> </w:t>
      </w:r>
      <w:r w:rsidRPr="00B8044B">
        <w:t>Consultations needed</w:t>
      </w:r>
    </w:p>
    <w:p w14:paraId="3E5AA238" w14:textId="381B5FE2" w:rsidR="00A95AC1" w:rsidRPr="00281004" w:rsidRDefault="00A95AC1" w:rsidP="00281004">
      <w:pPr>
        <w:pStyle w:val="Endnote-Bullet-L1"/>
      </w:pPr>
      <w:r>
        <w:t xml:space="preserve">Support or second opinion </w:t>
      </w:r>
      <w:r w:rsidRPr="00281004">
        <w:t xml:space="preserve">regarding medical issues: other family physicians, nurse practitioners or nurses in your area with a special interest in IDD </w:t>
      </w:r>
    </w:p>
    <w:p w14:paraId="360E0C6C" w14:textId="0C6FF2AF" w:rsidR="00A95AC1" w:rsidRPr="00281004" w:rsidRDefault="00A95AC1" w:rsidP="00281004">
      <w:pPr>
        <w:pStyle w:val="Endnote-Bullet-L1"/>
      </w:pPr>
      <w:r w:rsidRPr="00281004">
        <w:t xml:space="preserve">Etiology of the IDD; genetic risk factors: Genetics </w:t>
      </w:r>
    </w:p>
    <w:p w14:paraId="53FF490D" w14:textId="39C15EEF" w:rsidR="00A95AC1" w:rsidRPr="00281004" w:rsidRDefault="00A95AC1" w:rsidP="00281004">
      <w:pPr>
        <w:pStyle w:val="Endnote-Bullet-L1"/>
      </w:pPr>
      <w:r w:rsidRPr="00281004">
        <w:t xml:space="preserve">Mental health; Psychotropic medication use: Psychiatry </w:t>
      </w:r>
    </w:p>
    <w:p w14:paraId="03A24BF2" w14:textId="726E39BF" w:rsidR="00A95AC1" w:rsidRPr="00281004" w:rsidRDefault="00A95AC1" w:rsidP="00281004">
      <w:pPr>
        <w:pStyle w:val="Endnote-Bullet-L1"/>
      </w:pPr>
      <w:r w:rsidRPr="00281004">
        <w:t xml:space="preserve">Polypharmacy, multiple prescribers: Pharmacy </w:t>
      </w:r>
    </w:p>
    <w:p w14:paraId="04483CB0" w14:textId="642331B4" w:rsidR="00A95AC1" w:rsidRPr="00281004" w:rsidRDefault="00A95AC1" w:rsidP="00281004">
      <w:pPr>
        <w:pStyle w:val="Endnote-Bullet-L1"/>
      </w:pPr>
      <w:r w:rsidRPr="00281004">
        <w:t xml:space="preserve">Hearing: Audiology </w:t>
      </w:r>
    </w:p>
    <w:p w14:paraId="624CE123" w14:textId="104B33F5" w:rsidR="00A95AC1" w:rsidRPr="00281004" w:rsidRDefault="00A95AC1" w:rsidP="00281004">
      <w:pPr>
        <w:pStyle w:val="Endnote-Bullet-L1"/>
      </w:pPr>
      <w:r w:rsidRPr="00281004">
        <w:t>Communication, swallowing: Speech and Language Pathology</w:t>
      </w:r>
    </w:p>
    <w:p w14:paraId="3A65D435" w14:textId="2D923817" w:rsidR="00A95AC1" w:rsidRPr="00281004" w:rsidRDefault="00A95AC1" w:rsidP="00281004">
      <w:pPr>
        <w:pStyle w:val="Endnote-Bullet-L1"/>
      </w:pPr>
      <w:r w:rsidRPr="00281004">
        <w:t xml:space="preserve">Intellectual abilities: Psychology </w:t>
      </w:r>
    </w:p>
    <w:p w14:paraId="6F8ABC95" w14:textId="5DE10A2C" w:rsidR="00A95AC1" w:rsidRPr="00281004" w:rsidRDefault="00A95AC1" w:rsidP="00281004">
      <w:pPr>
        <w:pStyle w:val="Endnote-Bullet-L1"/>
      </w:pPr>
      <w:r w:rsidRPr="00281004">
        <w:t xml:space="preserve">Mobility changes, increased falls, balance: Physiatry, Physiotherapy </w:t>
      </w:r>
    </w:p>
    <w:p w14:paraId="38719D56" w14:textId="258826A5" w:rsidR="00A95AC1" w:rsidRPr="00281004" w:rsidRDefault="00A95AC1" w:rsidP="00281004">
      <w:pPr>
        <w:pStyle w:val="Endnote-Bullet-L1"/>
      </w:pPr>
      <w:r w:rsidRPr="00281004">
        <w:t xml:space="preserve">Safety equipment for home/community; problem solving re: ADLs/ </w:t>
      </w:r>
      <w:proofErr w:type="spellStart"/>
      <w:r w:rsidRPr="00281004">
        <w:t>iADLS</w:t>
      </w:r>
      <w:proofErr w:type="spellEnd"/>
      <w:r w:rsidRPr="00281004">
        <w:t xml:space="preserve">: Occupational Therapy </w:t>
      </w:r>
    </w:p>
    <w:p w14:paraId="79ADB3CC" w14:textId="5C97E0E0" w:rsidR="00A95AC1" w:rsidRPr="00281004" w:rsidRDefault="00A95AC1" w:rsidP="00281004">
      <w:pPr>
        <w:pStyle w:val="Endnote-Bullet-L1"/>
      </w:pPr>
      <w:r w:rsidRPr="00281004">
        <w:t xml:space="preserve">Behavioral assessment: </w:t>
      </w:r>
      <w:proofErr w:type="spellStart"/>
      <w:r w:rsidRPr="00281004">
        <w:t>Behaviour</w:t>
      </w:r>
      <w:proofErr w:type="spellEnd"/>
      <w:r w:rsidRPr="00281004">
        <w:t xml:space="preserve"> Therapy </w:t>
      </w:r>
    </w:p>
    <w:p w14:paraId="17D784DC" w14:textId="5701DA25" w:rsidR="00A95AC1" w:rsidRPr="00281004" w:rsidRDefault="00A95AC1" w:rsidP="00281004">
      <w:pPr>
        <w:pStyle w:val="Endnote-Bullet-L1"/>
      </w:pPr>
      <w:r w:rsidRPr="00281004">
        <w:t xml:space="preserve">Caregiver stress, income optimizations, service navigation: Social Work </w:t>
      </w:r>
    </w:p>
    <w:p w14:paraId="4210A731" w14:textId="02525E00" w:rsidR="00A95AC1" w:rsidRPr="00281004" w:rsidRDefault="00A95AC1" w:rsidP="00281004">
      <w:pPr>
        <w:pStyle w:val="Endnote-Bullet-L1"/>
      </w:pPr>
      <w:r w:rsidRPr="00281004">
        <w:t>Nutrition/Weight: Dietician</w:t>
      </w:r>
    </w:p>
    <w:p w14:paraId="13EAD048" w14:textId="177C56AF" w:rsidR="00A95AC1" w:rsidRDefault="00A95AC1" w:rsidP="00281004">
      <w:pPr>
        <w:pStyle w:val="Endnote-Bullet-L1"/>
      </w:pPr>
      <w:r w:rsidRPr="00281004">
        <w:t>Fo</w:t>
      </w:r>
      <w:r>
        <w:t>ot problems: podiatrists, chiropodists foot care nurses</w:t>
      </w:r>
    </w:p>
    <w:p w14:paraId="1D1A9DAF" w14:textId="6F949E2D" w:rsidR="00A95AC1" w:rsidRDefault="00A95AC1" w:rsidP="00490609">
      <w:pPr>
        <w:pStyle w:val="Endnote-Context"/>
      </w:pPr>
      <w:r>
        <w:t>You do not have to deal with all the issues yourself! Consider referrals to relevant collaborators in your community.</w:t>
      </w:r>
    </w:p>
    <w:p w14:paraId="211FF959" w14:textId="77777777" w:rsidR="00A95AC1" w:rsidRDefault="00A95AC1" w:rsidP="00490609">
      <w:pPr>
        <w:pStyle w:val="Endnote-Context"/>
      </w:pPr>
      <w:r>
        <w:t xml:space="preserve">Engage in or support developing an integrated health care team of professionals, preferably ones who are familiar with adults with IDD. </w:t>
      </w:r>
    </w:p>
    <w:p w14:paraId="6DDBFAC6" w14:textId="42A71488" w:rsidR="00A95AC1" w:rsidRDefault="00A95AC1" w:rsidP="00490609">
      <w:pPr>
        <w:pStyle w:val="Endnote-Context"/>
      </w:pPr>
      <w:r>
        <w:t>Designate someone to lead, coordinate, and integrate team input.</w:t>
      </w:r>
    </w:p>
  </w:endnote>
  <w:endnote w:id="55">
    <w:p w14:paraId="7C0DCAFF" w14:textId="7C1E720A" w:rsidR="00A95AC1" w:rsidRDefault="00A95AC1" w:rsidP="00490609">
      <w:pPr>
        <w:pStyle w:val="Endnote-H4"/>
      </w:pPr>
      <w:r>
        <w:rPr>
          <w:rStyle w:val="EndnoteReference"/>
        </w:rPr>
        <w:endnoteRef/>
      </w:r>
      <w:r>
        <w:t xml:space="preserve"> </w:t>
      </w:r>
      <w:r w:rsidRPr="00B8044B">
        <w:t>Symptom monitoring tools</w:t>
      </w:r>
    </w:p>
    <w:p w14:paraId="3831862F" w14:textId="77777777" w:rsidR="00A95AC1" w:rsidRDefault="00A95AC1" w:rsidP="00FA721B">
      <w:pPr>
        <w:pStyle w:val="Endnote-Context"/>
      </w:pPr>
      <w:r>
        <w:t xml:space="preserve">The Developmental Disabilities Primary Care Program has monitoring charts for patients and caregivers, </w:t>
      </w:r>
      <w:proofErr w:type="spellStart"/>
      <w:r>
        <w:t>eg</w:t>
      </w:r>
      <w:proofErr w:type="spellEnd"/>
      <w:r>
        <w:t>, to monitor bowel movements and seizures. These could be useful to provide to patients/caregivers to monitor a problem identified in a Health Check and prepare for a follow-up visit.</w:t>
      </w:r>
    </w:p>
    <w:p w14:paraId="0B8E09A7" w14:textId="2FE6B561" w:rsidR="00A95AC1" w:rsidRDefault="004A2825" w:rsidP="00490609">
      <w:pPr>
        <w:pStyle w:val="Endnote-H5"/>
      </w:pPr>
      <w:r>
        <w:t>PRACTICE TOOLS</w:t>
      </w:r>
    </w:p>
    <w:p w14:paraId="63150117" w14:textId="77777777" w:rsidR="00A95AC1" w:rsidRDefault="004D4F03" w:rsidP="00490609">
      <w:pPr>
        <w:pStyle w:val="Endnote-Link"/>
      </w:pPr>
      <w:hyperlink r:id="rId47" w:history="1">
        <w:r w:rsidR="00A95AC1" w:rsidRPr="00A84A02">
          <w:rPr>
            <w:rStyle w:val="Hyperlink"/>
          </w:rPr>
          <w:t>Monitoring charts</w:t>
        </w:r>
      </w:hyperlink>
    </w:p>
    <w:p w14:paraId="0A2A4499" w14:textId="2A404EB4" w:rsidR="00A95AC1" w:rsidRDefault="004D4F03" w:rsidP="00490609">
      <w:pPr>
        <w:pStyle w:val="Endnote-Link"/>
      </w:pPr>
      <w:hyperlink r:id="rId48" w:history="1">
        <w:r w:rsidR="00A95AC1" w:rsidRPr="00B8056D">
          <w:rPr>
            <w:rStyle w:val="Hyperlink"/>
          </w:rPr>
          <w:t>Epilepsy</w:t>
        </w:r>
      </w:hyperlink>
    </w:p>
  </w:endnote>
  <w:endnote w:id="56">
    <w:p w14:paraId="2DB421D4" w14:textId="6BA98AB0" w:rsidR="00A95AC1" w:rsidRDefault="00A95AC1" w:rsidP="00490609">
      <w:pPr>
        <w:pStyle w:val="Endnote-H4"/>
      </w:pPr>
      <w:r>
        <w:rPr>
          <w:rStyle w:val="EndnoteReference"/>
        </w:rPr>
        <w:endnoteRef/>
      </w:r>
      <w:r>
        <w:t xml:space="preserve"> </w:t>
      </w:r>
      <w:r w:rsidRPr="00B8044B">
        <w:t>Patient and caregiver educational material</w:t>
      </w:r>
    </w:p>
    <w:p w14:paraId="147D1672" w14:textId="7EAAEE3F" w:rsidR="00A95AC1" w:rsidRDefault="004A2825" w:rsidP="00490609">
      <w:pPr>
        <w:pStyle w:val="Endnote-H5"/>
      </w:pPr>
      <w:r>
        <w:t>PRACTICE TOOLS</w:t>
      </w:r>
    </w:p>
    <w:p w14:paraId="648CB41F" w14:textId="6998445C" w:rsidR="00A95AC1" w:rsidRPr="00394E8E" w:rsidRDefault="00394E8E" w:rsidP="00490609">
      <w:pPr>
        <w:pStyle w:val="Endnote-Link"/>
        <w:rPr>
          <w:b/>
          <w:strike/>
          <w:lang w:val="en-US"/>
        </w:rPr>
      </w:pPr>
      <w:r w:rsidRPr="00D93E1C">
        <w:t xml:space="preserve">Examples: Easy-to-read health pamphlets are available at Easy Health, by </w:t>
      </w:r>
      <w:proofErr w:type="spellStart"/>
      <w:r w:rsidRPr="00D93E1C">
        <w:t>EasyHealth</w:t>
      </w:r>
      <w:proofErr w:type="spellEnd"/>
      <w:r w:rsidRPr="00D93E1C">
        <w:t>, Generate Opportunities Ltd., UK or Health Care Access Research and Developmental Disabilities, CAMH, Toronto.</w:t>
      </w:r>
    </w:p>
  </w:endnote>
  <w:endnote w:id="57">
    <w:p w14:paraId="2A60BA13" w14:textId="0D988699" w:rsidR="00A95AC1" w:rsidRDefault="00A95AC1" w:rsidP="00490609">
      <w:pPr>
        <w:pStyle w:val="Endnote-H4"/>
      </w:pPr>
      <w:r>
        <w:rPr>
          <w:rStyle w:val="EndnoteReference"/>
        </w:rPr>
        <w:endnoteRef/>
      </w:r>
      <w:r>
        <w:t xml:space="preserve"> </w:t>
      </w:r>
      <w:r w:rsidRPr="003E6BA6">
        <w:t>Financial resources needed</w:t>
      </w:r>
    </w:p>
    <w:p w14:paraId="2A73879F" w14:textId="22DA55B0" w:rsidR="00A95AC1" w:rsidRDefault="00A95AC1" w:rsidP="007B6C5C">
      <w:pPr>
        <w:pStyle w:val="Endnote-Bullet-L1"/>
      </w:pPr>
      <w:r>
        <w:t>Review available financial resources for people with IDD; Provide information to patients or refer to social workers to assist with applications.</w:t>
      </w:r>
    </w:p>
  </w:endnote>
  <w:endnote w:id="58">
    <w:p w14:paraId="20B56C58" w14:textId="6FEFD57B" w:rsidR="00A95AC1" w:rsidRDefault="00A95AC1" w:rsidP="00490609">
      <w:pPr>
        <w:pStyle w:val="Endnote-H4"/>
      </w:pPr>
      <w:r>
        <w:rPr>
          <w:rStyle w:val="EndnoteReference"/>
        </w:rPr>
        <w:endnoteRef/>
      </w:r>
      <w:r>
        <w:t xml:space="preserve"> </w:t>
      </w:r>
      <w:r w:rsidRPr="003E6BA6">
        <w:t>Record given to patient/caregiver</w:t>
      </w:r>
    </w:p>
    <w:p w14:paraId="0358D10F" w14:textId="4C5592EA" w:rsidR="00A95AC1" w:rsidRDefault="00A95AC1" w:rsidP="007B6C5C">
      <w:pPr>
        <w:pStyle w:val="Endnote-Bullet-L1"/>
      </w:pPr>
      <w:r>
        <w:t xml:space="preserve">Provide the patient and caregiver with a copy of the patient’s updated CPP and the updated Health Check. If the patient brought a copy of a health passport or similar documentation, complete the questions on the form and return to the patient and caregiver. Make a copy for your records. This will serve as a summary of the assessment. </w:t>
      </w:r>
    </w:p>
    <w:p w14:paraId="0158D13E" w14:textId="7E82DC72" w:rsidR="00A95AC1" w:rsidRDefault="004A2825" w:rsidP="00490609">
      <w:pPr>
        <w:pStyle w:val="Endnote-H5"/>
      </w:pPr>
      <w:r>
        <w:t>PRACTICE TOOLS</w:t>
      </w:r>
    </w:p>
    <w:p w14:paraId="475FF21E" w14:textId="6333B176" w:rsidR="00A95AC1" w:rsidRDefault="004D4F03" w:rsidP="00490609">
      <w:pPr>
        <w:pStyle w:val="Endnote-Link"/>
        <w:rPr>
          <w:rStyle w:val="Hyperlink"/>
        </w:rPr>
      </w:pPr>
      <w:hyperlink r:id="rId49" w:history="1">
        <w:r w:rsidR="00A95AC1" w:rsidRPr="00073F58">
          <w:rPr>
            <w:rStyle w:val="Hyperlink"/>
          </w:rPr>
          <w:t>My Health Care Visit</w:t>
        </w:r>
      </w:hyperlink>
    </w:p>
    <w:p w14:paraId="512BD841" w14:textId="1A140E08" w:rsidR="000E3BC9" w:rsidRDefault="000E3BC9" w:rsidP="00490609">
      <w:pPr>
        <w:pStyle w:val="Endnote-Link"/>
        <w:rPr>
          <w:rStyle w:val="Hyperlink"/>
        </w:rPr>
      </w:pPr>
    </w:p>
    <w:p w14:paraId="0E6B0946" w14:textId="3B4F7708" w:rsidR="000E3BC9" w:rsidRDefault="000E3BC9" w:rsidP="00490609">
      <w:pPr>
        <w:pStyle w:val="Endnote-Link"/>
        <w:rPr>
          <w:rStyle w:val="Hyperlink"/>
        </w:rPr>
      </w:pPr>
    </w:p>
    <w:p w14:paraId="72963503" w14:textId="077C9C65" w:rsidR="000E3BC9" w:rsidRDefault="000E3BC9" w:rsidP="00490609">
      <w:pPr>
        <w:pStyle w:val="Endnote-Link"/>
        <w:rPr>
          <w:rStyle w:val="Hyperlink"/>
        </w:rPr>
      </w:pPr>
    </w:p>
    <w:p w14:paraId="52887C2C" w14:textId="591087A3" w:rsidR="000E3BC9" w:rsidRDefault="000E3BC9" w:rsidP="00490609">
      <w:pPr>
        <w:pStyle w:val="Endnote-Link"/>
        <w:rPr>
          <w:rStyle w:val="Hyperlink"/>
        </w:rPr>
      </w:pPr>
    </w:p>
    <w:p w14:paraId="6A306861" w14:textId="5E214E38" w:rsidR="000E3BC9" w:rsidRDefault="000E3BC9" w:rsidP="00490609">
      <w:pPr>
        <w:pStyle w:val="Endnote-Link"/>
        <w:rPr>
          <w:rStyle w:val="Hyperlink"/>
        </w:rPr>
      </w:pPr>
    </w:p>
    <w:p w14:paraId="3EC29349" w14:textId="4999224C" w:rsidR="000E3BC9" w:rsidRDefault="000E3BC9" w:rsidP="00490609">
      <w:pPr>
        <w:pStyle w:val="Endnote-Link"/>
        <w:rPr>
          <w:rStyle w:val="Hyperlink"/>
        </w:rPr>
      </w:pPr>
    </w:p>
    <w:p w14:paraId="7E49C450" w14:textId="77777777" w:rsidR="006476B6" w:rsidRPr="006476B6" w:rsidRDefault="006476B6" w:rsidP="00AD4CA1">
      <w:pPr>
        <w:pStyle w:val="Endnote-H5"/>
        <w:rPr>
          <w:rStyle w:val="Hyperlink"/>
          <w:color w:val="auto"/>
          <w:u w:val="none"/>
        </w:rPr>
      </w:pPr>
      <w:r w:rsidRPr="006476B6">
        <w:rPr>
          <w:rStyle w:val="Hyperlink"/>
          <w:color w:val="auto"/>
          <w:u w:val="none"/>
        </w:rPr>
        <w:t>Copyright and Disclaimer</w:t>
      </w:r>
    </w:p>
    <w:p w14:paraId="6EFD1D08" w14:textId="77777777" w:rsidR="006476B6" w:rsidRPr="006476B6" w:rsidRDefault="006476B6" w:rsidP="00AD4CA1">
      <w:pPr>
        <w:pStyle w:val="Endnote-Link"/>
        <w:spacing w:after="120"/>
        <w:rPr>
          <w:rStyle w:val="Hyperlink"/>
          <w:color w:val="auto"/>
          <w:u w:val="none"/>
        </w:rPr>
      </w:pPr>
      <w:r w:rsidRPr="006476B6">
        <w:rPr>
          <w:rStyle w:val="Hyperlink"/>
          <w:color w:val="auto"/>
          <w:u w:val="none"/>
        </w:rPr>
        <w:t xml:space="preserve">All rights reserved. The content of this tool may not be reproduced or stored in a retrieval system in any form or by any means without the prior written permission of the copyright owner, Surrey Place. Permission to use, copy, and distribute the tool is granted with proper citation as outlined below. Contact ddpcp@surreyplace.ca for permission to adapt this tool to your local practice setting. This tool is developed as a guide only. </w:t>
      </w:r>
    </w:p>
    <w:p w14:paraId="7F4FB25D" w14:textId="77777777" w:rsidR="006476B6" w:rsidRPr="006476B6" w:rsidRDefault="006476B6" w:rsidP="00AD4CA1">
      <w:pPr>
        <w:pStyle w:val="Endnote-Link"/>
        <w:spacing w:after="120"/>
        <w:rPr>
          <w:rStyle w:val="Hyperlink"/>
          <w:color w:val="auto"/>
          <w:u w:val="none"/>
        </w:rPr>
      </w:pPr>
      <w:r w:rsidRPr="006476B6">
        <w:rPr>
          <w:rStyle w:val="Hyperlink"/>
          <w:color w:val="auto"/>
          <w:u w:val="none"/>
        </w:rPr>
        <w:t xml:space="preserve">This clinical tool accompanies the Primary care of adults with intellectual and developmental disabilities: 2018 Canadian consensus guidelines, published by the Developmental Disabilities Program (DDPCP), of Surrey Place and Canadian Family Physician, (Volume 64 (4): April 2018, p254-279). Tool development was funded by the Ontario Ministry of Health and Long-Term Care and the Ministry of Children, Community and Social Services (2016-19). </w:t>
      </w:r>
    </w:p>
    <w:p w14:paraId="2F7AA0BB" w14:textId="77777777" w:rsidR="006476B6" w:rsidRPr="006476B6" w:rsidRDefault="006476B6" w:rsidP="00AD4CA1">
      <w:pPr>
        <w:pStyle w:val="Endnote-Link"/>
        <w:spacing w:after="120"/>
        <w:rPr>
          <w:rStyle w:val="Hyperlink"/>
          <w:color w:val="auto"/>
          <w:u w:val="none"/>
        </w:rPr>
      </w:pPr>
      <w:r w:rsidRPr="006476B6">
        <w:rPr>
          <w:rStyle w:val="Hyperlink"/>
          <w:color w:val="auto"/>
          <w:u w:val="none"/>
        </w:rPr>
        <w:t xml:space="preserve">Surrey Place, the Developmental Disabilities Primary Care Program and others contributing to the preparation of this document cannot accept liability for errors, omissions or any consequences arising from the use of the information. Primary care providers and other healthcare professionals are required to exercise their own clinical judgement in using this tool. </w:t>
      </w:r>
    </w:p>
    <w:p w14:paraId="0E750505" w14:textId="77777777" w:rsidR="006476B6" w:rsidRPr="006476B6" w:rsidRDefault="006476B6" w:rsidP="00AD4CA1">
      <w:pPr>
        <w:pStyle w:val="Endnote-Link"/>
        <w:spacing w:after="120"/>
        <w:rPr>
          <w:rStyle w:val="Hyperlink"/>
          <w:color w:val="auto"/>
          <w:u w:val="none"/>
        </w:rPr>
      </w:pPr>
      <w:r w:rsidRPr="006476B6">
        <w:rPr>
          <w:rStyle w:val="Hyperlink"/>
          <w:color w:val="auto"/>
          <w:u w:val="none"/>
        </w:rPr>
        <w:t>The Telus PS Suite EMR version of the Health Check tool was developed with the assistance of the e-Health Centre of Excellence, Waterloo, Ontario and through a grant funded by the College of Family Physicians of Canada (2021).</w:t>
      </w:r>
    </w:p>
    <w:p w14:paraId="25C6C164" w14:textId="42B84F7D" w:rsidR="00AD4CA1" w:rsidRPr="00AD4CA1" w:rsidRDefault="006476B6" w:rsidP="00990F27">
      <w:pPr>
        <w:pStyle w:val="Endnote-H5"/>
        <w:rPr>
          <w:rStyle w:val="Hyperlink"/>
          <w:color w:val="auto"/>
          <w:u w:val="none"/>
        </w:rPr>
      </w:pPr>
      <w:r w:rsidRPr="00AD4CA1">
        <w:rPr>
          <w:rStyle w:val="Hyperlink"/>
          <w:color w:val="auto"/>
          <w:u w:val="none"/>
        </w:rPr>
        <w:t>PLEASE USE THIS CITATION WHEN REFERENCING THIS TOOL:</w:t>
      </w:r>
    </w:p>
    <w:p w14:paraId="12C5A217" w14:textId="54F5E96D" w:rsidR="000E3BC9" w:rsidRPr="006476B6" w:rsidRDefault="006476B6" w:rsidP="00AD4CA1">
      <w:pPr>
        <w:pStyle w:val="Endnote-Link"/>
        <w:spacing w:after="120"/>
        <w:rPr>
          <w:rStyle w:val="Hyperlink"/>
          <w:color w:val="auto"/>
          <w:u w:val="none"/>
        </w:rPr>
      </w:pPr>
      <w:r w:rsidRPr="006476B6">
        <w:rPr>
          <w:rStyle w:val="Hyperlink"/>
          <w:color w:val="auto"/>
          <w:u w:val="none"/>
        </w:rPr>
        <w:t xml:space="preserve">Health Check: Comprehensive Health Assessment of Adults with Intellectual and Developmental Disabilities. Casson, I., Gemmill, M., Green, L., Grier, E., Hung, A., Ladouceur, J., </w:t>
      </w:r>
      <w:proofErr w:type="spellStart"/>
      <w:r w:rsidRPr="006476B6">
        <w:rPr>
          <w:rStyle w:val="Hyperlink"/>
          <w:color w:val="auto"/>
          <w:u w:val="none"/>
        </w:rPr>
        <w:t>Lepp</w:t>
      </w:r>
      <w:proofErr w:type="spellEnd"/>
      <w:r w:rsidRPr="006476B6">
        <w:rPr>
          <w:rStyle w:val="Hyperlink"/>
          <w:color w:val="auto"/>
          <w:u w:val="none"/>
        </w:rPr>
        <w:t>, A., McNeil K., Niel, U., Ross, M., Sullivan, W., Thatcher A.; Developmental Disabilities Primary Care Program of Surrey Place, Toronto, updated 2023.</w:t>
      </w:r>
    </w:p>
    <w:p w14:paraId="5CA419A4" w14:textId="77777777" w:rsidR="000E3BC9" w:rsidRPr="006476B6" w:rsidRDefault="000E3BC9" w:rsidP="006476B6">
      <w:pPr>
        <w:pStyle w:val="Endnote-Lin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A6B1" w14:textId="7E975B24" w:rsidR="00954275" w:rsidRPr="00C030C0" w:rsidRDefault="000B35C7" w:rsidP="001E3A9C">
    <w:pPr>
      <w:pStyle w:val="Header"/>
      <w:tabs>
        <w:tab w:val="clear" w:pos="9360"/>
        <w:tab w:val="right" w:pos="10800"/>
      </w:tabs>
    </w:pPr>
    <w:r>
      <w:br/>
    </w:r>
    <w:r w:rsidR="00954275" w:rsidRPr="00C030C0">
      <w:t xml:space="preserve">Developed by: Surrey Place Developmental Disabilities Primary Care Program, </w:t>
    </w:r>
    <w:r w:rsidR="007C1E9D">
      <w:t>March</w:t>
    </w:r>
    <w:r w:rsidR="00954275" w:rsidRPr="00C030C0">
      <w:t xml:space="preserve"> 202</w:t>
    </w:r>
    <w:r w:rsidR="007C1E9D">
      <w:t>3</w:t>
    </w:r>
    <w:r w:rsidR="00954275" w:rsidRPr="00C030C0">
      <w:rPr>
        <w:i/>
      </w:rPr>
      <w:tab/>
      <w:t xml:space="preserve"> </w:t>
    </w:r>
    <w:r w:rsidR="00F5185F" w:rsidRPr="00C030C0">
      <w:rPr>
        <w:i/>
      </w:rPr>
      <w:t xml:space="preserve">Page </w:t>
    </w:r>
    <w:r w:rsidR="00F5185F" w:rsidRPr="00C030C0">
      <w:rPr>
        <w:b/>
        <w:bCs/>
        <w:i/>
      </w:rPr>
      <w:fldChar w:fldCharType="begin"/>
    </w:r>
    <w:r w:rsidR="00F5185F" w:rsidRPr="00C030C0">
      <w:rPr>
        <w:b/>
        <w:bCs/>
        <w:i/>
      </w:rPr>
      <w:instrText xml:space="preserve"> PAGE  \* Arabic  \* MERGEFORMAT </w:instrText>
    </w:r>
    <w:r w:rsidR="00F5185F" w:rsidRPr="00C030C0">
      <w:rPr>
        <w:b/>
        <w:bCs/>
        <w:i/>
      </w:rPr>
      <w:fldChar w:fldCharType="separate"/>
    </w:r>
    <w:r w:rsidR="00F5185F" w:rsidRPr="00C030C0">
      <w:rPr>
        <w:b/>
        <w:bCs/>
        <w:i/>
        <w:noProof/>
      </w:rPr>
      <w:t>1</w:t>
    </w:r>
    <w:r w:rsidR="00F5185F" w:rsidRPr="00C030C0">
      <w:rPr>
        <w:b/>
        <w:bCs/>
        <w:i/>
      </w:rPr>
      <w:fldChar w:fldCharType="end"/>
    </w:r>
    <w:r w:rsidR="00F5185F" w:rsidRPr="00C030C0">
      <w:rPr>
        <w:i/>
      </w:rPr>
      <w:t xml:space="preserve"> of </w:t>
    </w:r>
    <w:r w:rsidR="00F5185F" w:rsidRPr="00C030C0">
      <w:rPr>
        <w:b/>
        <w:bCs/>
        <w:i/>
      </w:rPr>
      <w:fldChar w:fldCharType="begin"/>
    </w:r>
    <w:r w:rsidR="00F5185F" w:rsidRPr="00C030C0">
      <w:rPr>
        <w:b/>
        <w:bCs/>
        <w:i/>
      </w:rPr>
      <w:instrText xml:space="preserve"> NUMPAGES  \* Arabic  \* MERGEFORMAT </w:instrText>
    </w:r>
    <w:r w:rsidR="00F5185F" w:rsidRPr="00C030C0">
      <w:rPr>
        <w:b/>
        <w:bCs/>
        <w:i/>
      </w:rPr>
      <w:fldChar w:fldCharType="separate"/>
    </w:r>
    <w:r w:rsidR="00F5185F" w:rsidRPr="00C030C0">
      <w:rPr>
        <w:b/>
        <w:bCs/>
        <w:i/>
        <w:noProof/>
      </w:rPr>
      <w:t>2</w:t>
    </w:r>
    <w:r w:rsidR="00F5185F" w:rsidRPr="00C030C0">
      <w:rPr>
        <w:b/>
        <w:bCs/>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D8AF" w14:textId="49A4FE53" w:rsidR="00F5185F" w:rsidRPr="00F5185F" w:rsidRDefault="00F5185F" w:rsidP="001E3A9C">
    <w:pPr>
      <w:pStyle w:val="Header"/>
      <w:tabs>
        <w:tab w:val="clear" w:pos="9360"/>
        <w:tab w:val="right" w:pos="10710"/>
      </w:tabs>
    </w:pPr>
    <w:r w:rsidRPr="00E31F25">
      <w:t>Developed by: Surrey Place Developmental Disabilities Primary Care Program</w:t>
    </w:r>
    <w:r>
      <w:t>, November 2022</w:t>
    </w:r>
    <w:r>
      <w:rPr>
        <w:i/>
      </w:rPr>
      <w:tab/>
      <w:t xml:space="preserve"> </w:t>
    </w:r>
    <w:r w:rsidRPr="00F5185F">
      <w:rPr>
        <w:i/>
      </w:rPr>
      <w:t xml:space="preserve">Page </w:t>
    </w:r>
    <w:r w:rsidRPr="00F5185F">
      <w:rPr>
        <w:b/>
        <w:bCs/>
        <w:i/>
      </w:rPr>
      <w:fldChar w:fldCharType="begin"/>
    </w:r>
    <w:r w:rsidRPr="00F5185F">
      <w:rPr>
        <w:b/>
        <w:bCs/>
        <w:i/>
      </w:rPr>
      <w:instrText xml:space="preserve"> PAGE  \* Arabic  \* MERGEFORMAT </w:instrText>
    </w:r>
    <w:r w:rsidRPr="00F5185F">
      <w:rPr>
        <w:b/>
        <w:bCs/>
        <w:i/>
      </w:rPr>
      <w:fldChar w:fldCharType="separate"/>
    </w:r>
    <w:r w:rsidRPr="00F5185F">
      <w:rPr>
        <w:b/>
        <w:bCs/>
        <w:i/>
        <w:noProof/>
      </w:rPr>
      <w:t>1</w:t>
    </w:r>
    <w:r w:rsidRPr="00F5185F">
      <w:rPr>
        <w:b/>
        <w:bCs/>
        <w:i/>
      </w:rPr>
      <w:fldChar w:fldCharType="end"/>
    </w:r>
    <w:r w:rsidRPr="00F5185F">
      <w:rPr>
        <w:i/>
      </w:rPr>
      <w:t xml:space="preserve"> of </w:t>
    </w:r>
    <w:r w:rsidRPr="00F5185F">
      <w:rPr>
        <w:b/>
        <w:bCs/>
        <w:i/>
      </w:rPr>
      <w:fldChar w:fldCharType="begin"/>
    </w:r>
    <w:r w:rsidRPr="00F5185F">
      <w:rPr>
        <w:b/>
        <w:bCs/>
        <w:i/>
      </w:rPr>
      <w:instrText xml:space="preserve"> NUMPAGES  \* Arabic  \* MERGEFORMAT </w:instrText>
    </w:r>
    <w:r w:rsidRPr="00F5185F">
      <w:rPr>
        <w:b/>
        <w:bCs/>
        <w:i/>
      </w:rPr>
      <w:fldChar w:fldCharType="separate"/>
    </w:r>
    <w:r w:rsidRPr="00F5185F">
      <w:rPr>
        <w:b/>
        <w:bCs/>
        <w:i/>
        <w:noProof/>
      </w:rPr>
      <w:t>2</w:t>
    </w:r>
    <w:r w:rsidRPr="00F5185F">
      <w:rPr>
        <w:b/>
        <w:bCs/>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1C84" w14:textId="77777777" w:rsidR="001B1F57" w:rsidRDefault="001B1F57" w:rsidP="00941025">
      <w:r>
        <w:separator/>
      </w:r>
    </w:p>
  </w:footnote>
  <w:footnote w:type="continuationSeparator" w:id="0">
    <w:p w14:paraId="6DC3CD1F" w14:textId="77777777" w:rsidR="001B1F57" w:rsidRDefault="001B1F57" w:rsidP="00941025">
      <w:r>
        <w:continuationSeparator/>
      </w:r>
    </w:p>
  </w:footnote>
  <w:footnote w:type="continuationNotice" w:id="1">
    <w:p w14:paraId="3DF83A1D" w14:textId="77777777" w:rsidR="001B1F57" w:rsidRDefault="001B1F57" w:rsidP="009410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12" w:space="0" w:color="8BAE3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64"/>
      <w:gridCol w:w="2816"/>
    </w:tblGrid>
    <w:tr w:rsidR="00C030C0" w14:paraId="073A4BD6" w14:textId="77777777" w:rsidTr="001A51DF">
      <w:tc>
        <w:tcPr>
          <w:tcW w:w="7891" w:type="dxa"/>
          <w:tcMar>
            <w:left w:w="0" w:type="dxa"/>
            <w:bottom w:w="115" w:type="dxa"/>
            <w:right w:w="115" w:type="dxa"/>
          </w:tcMar>
        </w:tcPr>
        <w:p w14:paraId="6A470414" w14:textId="6FCE1DA0" w:rsidR="00C030C0" w:rsidRDefault="00C030C0" w:rsidP="00941025">
          <w:pPr>
            <w:pStyle w:val="Header"/>
          </w:pPr>
          <w:r>
            <w:rPr>
              <w:noProof/>
            </w:rPr>
            <w:drawing>
              <wp:inline distT="0" distB="0" distL="0" distR="0" wp14:anchorId="627C05CA" wp14:editId="4AF7074D">
                <wp:extent cx="2468880" cy="284892"/>
                <wp:effectExtent l="0" t="0" r="0" b="1270"/>
                <wp:docPr id="69" name="Picture 52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523" descr="A picture containing text, clipart&#10;&#10;Description automatically generated"/>
                        <pic:cNvPicPr/>
                      </pic:nvPicPr>
                      <pic:blipFill rotWithShape="1">
                        <a:blip r:embed="rId1">
                          <a:extLst>
                            <a:ext uri="{28A0092B-C50C-407E-A947-70E740481C1C}">
                              <a14:useLocalDpi xmlns:a14="http://schemas.microsoft.com/office/drawing/2010/main" val="0"/>
                            </a:ext>
                          </a:extLst>
                        </a:blip>
                        <a:srcRect l="2744" t="39448" r="3830" b="31493"/>
                        <a:stretch/>
                      </pic:blipFill>
                      <pic:spPr bwMode="auto">
                        <a:xfrm>
                          <a:off x="0" y="0"/>
                          <a:ext cx="2468880" cy="284892"/>
                        </a:xfrm>
                        <a:prstGeom prst="rect">
                          <a:avLst/>
                        </a:prstGeom>
                        <a:ln>
                          <a:noFill/>
                        </a:ln>
                        <a:extLst>
                          <a:ext uri="{53640926-AAD7-44D8-BBD7-CCE9431645EC}">
                            <a14:shadowObscured xmlns:a14="http://schemas.microsoft.com/office/drawing/2010/main"/>
                          </a:ext>
                        </a:extLst>
                      </pic:spPr>
                    </pic:pic>
                  </a:graphicData>
                </a:graphic>
              </wp:inline>
            </w:drawing>
          </w:r>
        </w:p>
      </w:tc>
      <w:tc>
        <w:tcPr>
          <w:tcW w:w="2722" w:type="dxa"/>
          <w:tcMar>
            <w:left w:w="115" w:type="dxa"/>
            <w:bottom w:w="115" w:type="dxa"/>
            <w:right w:w="115" w:type="dxa"/>
          </w:tcMar>
          <w:vAlign w:val="center"/>
        </w:tcPr>
        <w:p w14:paraId="41745F16" w14:textId="77777777" w:rsidR="00C030C0" w:rsidRPr="0049609D" w:rsidRDefault="00C030C0" w:rsidP="00BE3ECD">
          <w:pPr>
            <w:pStyle w:val="NoSpacing"/>
          </w:pPr>
          <w:r w:rsidRPr="0049609D">
            <w:t xml:space="preserve">Developmental Disabilities </w:t>
          </w:r>
        </w:p>
        <w:p w14:paraId="2870B772" w14:textId="77777777" w:rsidR="00C030C0" w:rsidRPr="009B13AC" w:rsidRDefault="00C030C0" w:rsidP="00BE3ECD">
          <w:pPr>
            <w:pStyle w:val="NoSpacing"/>
          </w:pPr>
          <w:r w:rsidRPr="0049609D">
            <w:t>Primary Care Program</w:t>
          </w:r>
        </w:p>
      </w:tc>
    </w:tr>
  </w:tbl>
  <w:p w14:paraId="5FEB8B2C" w14:textId="77777777" w:rsidR="00C030C0" w:rsidRPr="00C030C0" w:rsidRDefault="00C030C0" w:rsidP="00941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12" w:space="0" w:color="8BAE3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30"/>
      <w:gridCol w:w="2770"/>
    </w:tblGrid>
    <w:tr w:rsidR="00C030C0" w14:paraId="40BD7B4B" w14:textId="77777777" w:rsidTr="001A51DF">
      <w:tc>
        <w:tcPr>
          <w:tcW w:w="7891" w:type="dxa"/>
          <w:tcMar>
            <w:left w:w="0" w:type="dxa"/>
            <w:bottom w:w="115" w:type="dxa"/>
            <w:right w:w="115" w:type="dxa"/>
          </w:tcMar>
        </w:tcPr>
        <w:p w14:paraId="68A1CB7C" w14:textId="63A6D6C1" w:rsidR="00C030C0" w:rsidRDefault="00C030C0" w:rsidP="00941025">
          <w:pPr>
            <w:pStyle w:val="Header"/>
          </w:pPr>
          <w:r>
            <w:rPr>
              <w:noProof/>
            </w:rPr>
            <w:drawing>
              <wp:inline distT="0" distB="0" distL="0" distR="0" wp14:anchorId="402FBDFE" wp14:editId="029899A3">
                <wp:extent cx="2468880" cy="284892"/>
                <wp:effectExtent l="0" t="0" r="0" b="1270"/>
                <wp:docPr id="68" name="Picture 52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523" descr="A picture containing text, clipart&#10;&#10;Description automatically generated"/>
                        <pic:cNvPicPr/>
                      </pic:nvPicPr>
                      <pic:blipFill rotWithShape="1">
                        <a:blip r:embed="rId1">
                          <a:extLst>
                            <a:ext uri="{28A0092B-C50C-407E-A947-70E740481C1C}">
                              <a14:useLocalDpi xmlns:a14="http://schemas.microsoft.com/office/drawing/2010/main" val="0"/>
                            </a:ext>
                          </a:extLst>
                        </a:blip>
                        <a:srcRect l="2744" t="39448" r="3830" b="31493"/>
                        <a:stretch/>
                      </pic:blipFill>
                      <pic:spPr bwMode="auto">
                        <a:xfrm>
                          <a:off x="0" y="0"/>
                          <a:ext cx="2468880" cy="284892"/>
                        </a:xfrm>
                        <a:prstGeom prst="rect">
                          <a:avLst/>
                        </a:prstGeom>
                        <a:ln>
                          <a:noFill/>
                        </a:ln>
                        <a:extLst>
                          <a:ext uri="{53640926-AAD7-44D8-BBD7-CCE9431645EC}">
                            <a14:shadowObscured xmlns:a14="http://schemas.microsoft.com/office/drawing/2010/main"/>
                          </a:ext>
                        </a:extLst>
                      </pic:spPr>
                    </pic:pic>
                  </a:graphicData>
                </a:graphic>
              </wp:inline>
            </w:drawing>
          </w:r>
        </w:p>
      </w:tc>
      <w:tc>
        <w:tcPr>
          <w:tcW w:w="2722" w:type="dxa"/>
          <w:tcMar>
            <w:left w:w="115" w:type="dxa"/>
            <w:bottom w:w="115" w:type="dxa"/>
            <w:right w:w="115" w:type="dxa"/>
          </w:tcMar>
          <w:vAlign w:val="center"/>
        </w:tcPr>
        <w:p w14:paraId="22084D48" w14:textId="77777777" w:rsidR="00C030C0" w:rsidRPr="0049609D" w:rsidRDefault="00C030C0" w:rsidP="00BE3ECD">
          <w:pPr>
            <w:pStyle w:val="NoSpacing"/>
          </w:pPr>
          <w:r w:rsidRPr="0049609D">
            <w:t xml:space="preserve">Developmental Disabilities </w:t>
          </w:r>
        </w:p>
        <w:p w14:paraId="338998F3" w14:textId="77777777" w:rsidR="00C030C0" w:rsidRPr="009B13AC" w:rsidRDefault="00C030C0" w:rsidP="00BE3ECD">
          <w:pPr>
            <w:pStyle w:val="NoSpacing"/>
          </w:pPr>
          <w:r w:rsidRPr="0049609D">
            <w:t>Primary Care Program</w:t>
          </w:r>
        </w:p>
      </w:tc>
    </w:tr>
  </w:tbl>
  <w:p w14:paraId="3BACA0CE" w14:textId="77777777" w:rsidR="00C030C0" w:rsidRDefault="00C030C0" w:rsidP="00941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757C"/>
    <w:multiLevelType w:val="hybridMultilevel"/>
    <w:tmpl w:val="CE286FC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 w15:restartNumberingAfterBreak="0">
    <w:nsid w:val="0C973167"/>
    <w:multiLevelType w:val="hybridMultilevel"/>
    <w:tmpl w:val="D7AC5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CD3BF6"/>
    <w:multiLevelType w:val="hybridMultilevel"/>
    <w:tmpl w:val="3258A77C"/>
    <w:lvl w:ilvl="0" w:tplc="CF58E8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F1399"/>
    <w:multiLevelType w:val="hybridMultilevel"/>
    <w:tmpl w:val="EC0660C0"/>
    <w:lvl w:ilvl="0" w:tplc="CF58E8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D3E"/>
    <w:multiLevelType w:val="hybridMultilevel"/>
    <w:tmpl w:val="70A2876C"/>
    <w:lvl w:ilvl="0" w:tplc="0820239C">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D2FA2"/>
    <w:multiLevelType w:val="hybridMultilevel"/>
    <w:tmpl w:val="0BFE8590"/>
    <w:lvl w:ilvl="0" w:tplc="6F161E36">
      <w:numFmt w:val="bullet"/>
      <w:pStyle w:val="Endnote-Bullet-L2"/>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66EB4"/>
    <w:multiLevelType w:val="hybridMultilevel"/>
    <w:tmpl w:val="C660E67C"/>
    <w:lvl w:ilvl="0" w:tplc="FFFFFFFF">
      <w:start w:val="1"/>
      <w:numFmt w:val="bullet"/>
      <w:lvlText w:val=""/>
      <w:lvlJc w:val="left"/>
      <w:pPr>
        <w:ind w:left="1080" w:hanging="360"/>
      </w:pPr>
      <w:rPr>
        <w:rFonts w:ascii="Symbol" w:hAnsi="Symbol" w:hint="default"/>
      </w:rPr>
    </w:lvl>
    <w:lvl w:ilvl="1" w:tplc="B9101830">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EF561C7"/>
    <w:multiLevelType w:val="hybridMultilevel"/>
    <w:tmpl w:val="509CC5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51039F"/>
    <w:multiLevelType w:val="hybridMultilevel"/>
    <w:tmpl w:val="47306730"/>
    <w:lvl w:ilvl="0" w:tplc="CF58E8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0375F"/>
    <w:multiLevelType w:val="hybridMultilevel"/>
    <w:tmpl w:val="6C3A4C8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2A7174DA"/>
    <w:multiLevelType w:val="hybridMultilevel"/>
    <w:tmpl w:val="3864E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A65602"/>
    <w:multiLevelType w:val="hybridMultilevel"/>
    <w:tmpl w:val="93A6BE16"/>
    <w:lvl w:ilvl="0" w:tplc="D9AE758E">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FA6882"/>
    <w:multiLevelType w:val="hybridMultilevel"/>
    <w:tmpl w:val="0D4C8C42"/>
    <w:lvl w:ilvl="0" w:tplc="B8369532">
      <w:start w:val="1"/>
      <w:numFmt w:val="bullet"/>
      <w:lvlText w:val="-"/>
      <w:lvlJc w:val="left"/>
      <w:pPr>
        <w:ind w:left="927" w:hanging="360"/>
      </w:pPr>
      <w:rPr>
        <w:rFonts w:ascii="Calibri" w:eastAsiaTheme="minorHAnsi" w:hAnsi="Calibri" w:cs="Calibr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3" w15:restartNumberingAfterBreak="0">
    <w:nsid w:val="2D9C04E0"/>
    <w:multiLevelType w:val="hybridMultilevel"/>
    <w:tmpl w:val="69FE98DE"/>
    <w:lvl w:ilvl="0" w:tplc="56B01B6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2773C16"/>
    <w:multiLevelType w:val="hybridMultilevel"/>
    <w:tmpl w:val="C6E4CF2A"/>
    <w:lvl w:ilvl="0" w:tplc="CF58E8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75631"/>
    <w:multiLevelType w:val="hybridMultilevel"/>
    <w:tmpl w:val="C63EDF7A"/>
    <w:lvl w:ilvl="0" w:tplc="1009000F">
      <w:start w:val="1"/>
      <w:numFmt w:val="decimal"/>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6" w15:restartNumberingAfterBreak="0">
    <w:nsid w:val="3DDD1A16"/>
    <w:multiLevelType w:val="hybridMultilevel"/>
    <w:tmpl w:val="103C2B24"/>
    <w:lvl w:ilvl="0" w:tplc="52A277EA">
      <w:start w:val="1"/>
      <w:numFmt w:val="bullet"/>
      <w:pStyle w:val="Endnote-Bullet-L1"/>
      <w:lvlText w:val="»"/>
      <w:lvlJc w:val="left"/>
      <w:pPr>
        <w:ind w:left="3510" w:hanging="360"/>
      </w:pPr>
      <w:rPr>
        <w:rFonts w:ascii="Lato" w:hAnsi="Lato"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45F2C0F"/>
    <w:multiLevelType w:val="hybridMultilevel"/>
    <w:tmpl w:val="E2A21A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C77137"/>
    <w:multiLevelType w:val="hybridMultilevel"/>
    <w:tmpl w:val="1B5C0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A92293"/>
    <w:multiLevelType w:val="hybridMultilevel"/>
    <w:tmpl w:val="1476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84422"/>
    <w:multiLevelType w:val="hybridMultilevel"/>
    <w:tmpl w:val="1B7A848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52A07849"/>
    <w:multiLevelType w:val="hybridMultilevel"/>
    <w:tmpl w:val="DBDE705E"/>
    <w:lvl w:ilvl="0" w:tplc="D7BC0A9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66604"/>
    <w:multiLevelType w:val="hybridMultilevel"/>
    <w:tmpl w:val="A04E50AA"/>
    <w:lvl w:ilvl="0" w:tplc="01DCB418">
      <w:numFmt w:val="bullet"/>
      <w:lvlText w:val="-"/>
      <w:lvlJc w:val="left"/>
      <w:pPr>
        <w:ind w:left="927" w:hanging="360"/>
      </w:pPr>
      <w:rPr>
        <w:rFonts w:ascii="Calibri" w:eastAsiaTheme="minorHAnsi" w:hAnsi="Calibri" w:cs="Calibr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3" w15:restartNumberingAfterBreak="0">
    <w:nsid w:val="6409062E"/>
    <w:multiLevelType w:val="hybridMultilevel"/>
    <w:tmpl w:val="971C75F2"/>
    <w:lvl w:ilvl="0" w:tplc="CF58E8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A4E57"/>
    <w:multiLevelType w:val="hybridMultilevel"/>
    <w:tmpl w:val="B6A0D082"/>
    <w:lvl w:ilvl="0" w:tplc="9384D39A">
      <w:start w:val="1"/>
      <w:numFmt w:val="decimal"/>
      <w:lvlText w:val="%1."/>
      <w:lvlJc w:val="left"/>
      <w:pPr>
        <w:ind w:left="360" w:hanging="360"/>
      </w:pPr>
      <w:rPr>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E1606F1"/>
    <w:multiLevelType w:val="hybridMultilevel"/>
    <w:tmpl w:val="F5F091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D755F2"/>
    <w:multiLevelType w:val="hybridMultilevel"/>
    <w:tmpl w:val="12B87722"/>
    <w:lvl w:ilvl="0" w:tplc="CF58E8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94E9D"/>
    <w:multiLevelType w:val="hybridMultilevel"/>
    <w:tmpl w:val="2056F16C"/>
    <w:lvl w:ilvl="0" w:tplc="CF58E8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023AAF"/>
    <w:multiLevelType w:val="hybridMultilevel"/>
    <w:tmpl w:val="EC40E7D8"/>
    <w:lvl w:ilvl="0" w:tplc="B9101830">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76625CD2"/>
    <w:multiLevelType w:val="hybridMultilevel"/>
    <w:tmpl w:val="61BCC340"/>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16cid:durableId="2029284844">
    <w:abstractNumId w:val="17"/>
  </w:num>
  <w:num w:numId="2" w16cid:durableId="16500170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3574398">
    <w:abstractNumId w:val="29"/>
  </w:num>
  <w:num w:numId="4" w16cid:durableId="288510057">
    <w:abstractNumId w:val="11"/>
  </w:num>
  <w:num w:numId="5" w16cid:durableId="20084346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7090750">
    <w:abstractNumId w:val="0"/>
  </w:num>
  <w:num w:numId="7" w16cid:durableId="1123379088">
    <w:abstractNumId w:val="15"/>
  </w:num>
  <w:num w:numId="8" w16cid:durableId="1926760912">
    <w:abstractNumId w:val="22"/>
  </w:num>
  <w:num w:numId="9" w16cid:durableId="1430006790">
    <w:abstractNumId w:val="24"/>
  </w:num>
  <w:num w:numId="10" w16cid:durableId="457527289">
    <w:abstractNumId w:val="25"/>
  </w:num>
  <w:num w:numId="11" w16cid:durableId="643895869">
    <w:abstractNumId w:val="28"/>
  </w:num>
  <w:num w:numId="12" w16cid:durableId="1573616577">
    <w:abstractNumId w:val="6"/>
  </w:num>
  <w:num w:numId="13" w16cid:durableId="1525095667">
    <w:abstractNumId w:val="12"/>
  </w:num>
  <w:num w:numId="14" w16cid:durableId="2128573416">
    <w:abstractNumId w:val="7"/>
  </w:num>
  <w:num w:numId="15" w16cid:durableId="1593128006">
    <w:abstractNumId w:val="9"/>
  </w:num>
  <w:num w:numId="16" w16cid:durableId="530462458">
    <w:abstractNumId w:val="20"/>
  </w:num>
  <w:num w:numId="17" w16cid:durableId="1396850993">
    <w:abstractNumId w:val="18"/>
  </w:num>
  <w:num w:numId="18" w16cid:durableId="271523462">
    <w:abstractNumId w:val="10"/>
  </w:num>
  <w:num w:numId="19" w16cid:durableId="1676179085">
    <w:abstractNumId w:val="19"/>
  </w:num>
  <w:num w:numId="20" w16cid:durableId="1895703319">
    <w:abstractNumId w:val="5"/>
  </w:num>
  <w:num w:numId="21" w16cid:durableId="554700083">
    <w:abstractNumId w:val="3"/>
  </w:num>
  <w:num w:numId="22" w16cid:durableId="996110407">
    <w:abstractNumId w:val="14"/>
  </w:num>
  <w:num w:numId="23" w16cid:durableId="1075594683">
    <w:abstractNumId w:val="23"/>
  </w:num>
  <w:num w:numId="24" w16cid:durableId="1627659359">
    <w:abstractNumId w:val="8"/>
  </w:num>
  <w:num w:numId="25" w16cid:durableId="1875117535">
    <w:abstractNumId w:val="27"/>
  </w:num>
  <w:num w:numId="26" w16cid:durableId="266740730">
    <w:abstractNumId w:val="26"/>
  </w:num>
  <w:num w:numId="27" w16cid:durableId="748119763">
    <w:abstractNumId w:val="2"/>
  </w:num>
  <w:num w:numId="28" w16cid:durableId="119736430">
    <w:abstractNumId w:val="1"/>
  </w:num>
  <w:num w:numId="29" w16cid:durableId="1973168561">
    <w:abstractNumId w:val="16"/>
  </w:num>
  <w:num w:numId="30" w16cid:durableId="1486315866">
    <w:abstractNumId w:val="4"/>
  </w:num>
  <w:num w:numId="31" w16cid:durableId="21441500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W1NLYwtzA3NTA1MTJT0lEKTi0uzszPAykwqQUAGU9LGywAAAA="/>
  </w:docVars>
  <w:rsids>
    <w:rsidRoot w:val="002C766D"/>
    <w:rsid w:val="00001E15"/>
    <w:rsid w:val="000020BE"/>
    <w:rsid w:val="00010746"/>
    <w:rsid w:val="00012796"/>
    <w:rsid w:val="00013D36"/>
    <w:rsid w:val="0002021E"/>
    <w:rsid w:val="00020338"/>
    <w:rsid w:val="000215DB"/>
    <w:rsid w:val="00023134"/>
    <w:rsid w:val="00025470"/>
    <w:rsid w:val="00025564"/>
    <w:rsid w:val="0002571F"/>
    <w:rsid w:val="0003054B"/>
    <w:rsid w:val="00033DE5"/>
    <w:rsid w:val="00037370"/>
    <w:rsid w:val="00037975"/>
    <w:rsid w:val="00044BD4"/>
    <w:rsid w:val="00046C2B"/>
    <w:rsid w:val="00050B06"/>
    <w:rsid w:val="00050CA0"/>
    <w:rsid w:val="000555ED"/>
    <w:rsid w:val="00057804"/>
    <w:rsid w:val="000622E6"/>
    <w:rsid w:val="00065AB9"/>
    <w:rsid w:val="00066BB2"/>
    <w:rsid w:val="00071E49"/>
    <w:rsid w:val="0007315B"/>
    <w:rsid w:val="00073F58"/>
    <w:rsid w:val="00076507"/>
    <w:rsid w:val="000801F6"/>
    <w:rsid w:val="000807D4"/>
    <w:rsid w:val="00080F4A"/>
    <w:rsid w:val="00082CE9"/>
    <w:rsid w:val="0008566A"/>
    <w:rsid w:val="0008577B"/>
    <w:rsid w:val="000866AB"/>
    <w:rsid w:val="00091A4B"/>
    <w:rsid w:val="00092FC4"/>
    <w:rsid w:val="00094B08"/>
    <w:rsid w:val="000A1CAC"/>
    <w:rsid w:val="000A65EB"/>
    <w:rsid w:val="000A77DF"/>
    <w:rsid w:val="000B0EB6"/>
    <w:rsid w:val="000B184B"/>
    <w:rsid w:val="000B35C7"/>
    <w:rsid w:val="000B4B92"/>
    <w:rsid w:val="000B5365"/>
    <w:rsid w:val="000B66F3"/>
    <w:rsid w:val="000B7E70"/>
    <w:rsid w:val="000C3360"/>
    <w:rsid w:val="000C3569"/>
    <w:rsid w:val="000C73FE"/>
    <w:rsid w:val="000D3302"/>
    <w:rsid w:val="000D3FAB"/>
    <w:rsid w:val="000D78D3"/>
    <w:rsid w:val="000E257B"/>
    <w:rsid w:val="000E3BC9"/>
    <w:rsid w:val="000E7023"/>
    <w:rsid w:val="000F0136"/>
    <w:rsid w:val="000F018E"/>
    <w:rsid w:val="000F2AAA"/>
    <w:rsid w:val="000F318F"/>
    <w:rsid w:val="000F658C"/>
    <w:rsid w:val="000F7C8E"/>
    <w:rsid w:val="00101A22"/>
    <w:rsid w:val="00104177"/>
    <w:rsid w:val="00106000"/>
    <w:rsid w:val="0010634E"/>
    <w:rsid w:val="00110754"/>
    <w:rsid w:val="00115573"/>
    <w:rsid w:val="00121285"/>
    <w:rsid w:val="001226F4"/>
    <w:rsid w:val="00127457"/>
    <w:rsid w:val="0013793F"/>
    <w:rsid w:val="00141462"/>
    <w:rsid w:val="00153311"/>
    <w:rsid w:val="001542B4"/>
    <w:rsid w:val="00163599"/>
    <w:rsid w:val="0016538B"/>
    <w:rsid w:val="00170458"/>
    <w:rsid w:val="00171C02"/>
    <w:rsid w:val="001735EB"/>
    <w:rsid w:val="001736BB"/>
    <w:rsid w:val="001773A7"/>
    <w:rsid w:val="00177CC2"/>
    <w:rsid w:val="00182527"/>
    <w:rsid w:val="00186A2C"/>
    <w:rsid w:val="0019309D"/>
    <w:rsid w:val="00193CA2"/>
    <w:rsid w:val="001A51DF"/>
    <w:rsid w:val="001B1F57"/>
    <w:rsid w:val="001B39C2"/>
    <w:rsid w:val="001B424D"/>
    <w:rsid w:val="001B74B7"/>
    <w:rsid w:val="001C1B02"/>
    <w:rsid w:val="001C2115"/>
    <w:rsid w:val="001C59DC"/>
    <w:rsid w:val="001C640B"/>
    <w:rsid w:val="001C7F11"/>
    <w:rsid w:val="001C7FEB"/>
    <w:rsid w:val="001D362E"/>
    <w:rsid w:val="001E3A9C"/>
    <w:rsid w:val="001E7A0B"/>
    <w:rsid w:val="002012C2"/>
    <w:rsid w:val="00201572"/>
    <w:rsid w:val="00204D69"/>
    <w:rsid w:val="00213DAF"/>
    <w:rsid w:val="00215C76"/>
    <w:rsid w:val="002174AC"/>
    <w:rsid w:val="00222FF7"/>
    <w:rsid w:val="00225455"/>
    <w:rsid w:val="002303CF"/>
    <w:rsid w:val="0023074A"/>
    <w:rsid w:val="0023190E"/>
    <w:rsid w:val="0023633E"/>
    <w:rsid w:val="00237009"/>
    <w:rsid w:val="002373DF"/>
    <w:rsid w:val="00253DC3"/>
    <w:rsid w:val="0025771C"/>
    <w:rsid w:val="00262AFA"/>
    <w:rsid w:val="00267A19"/>
    <w:rsid w:val="00273A1C"/>
    <w:rsid w:val="002765CF"/>
    <w:rsid w:val="00281004"/>
    <w:rsid w:val="00287CAA"/>
    <w:rsid w:val="00290523"/>
    <w:rsid w:val="0029221C"/>
    <w:rsid w:val="002930A3"/>
    <w:rsid w:val="00296C02"/>
    <w:rsid w:val="002A3572"/>
    <w:rsid w:val="002A5934"/>
    <w:rsid w:val="002A6253"/>
    <w:rsid w:val="002B5F7F"/>
    <w:rsid w:val="002C0512"/>
    <w:rsid w:val="002C0A6E"/>
    <w:rsid w:val="002C2620"/>
    <w:rsid w:val="002C30B6"/>
    <w:rsid w:val="002C6B37"/>
    <w:rsid w:val="002C766D"/>
    <w:rsid w:val="002D19BC"/>
    <w:rsid w:val="002D5239"/>
    <w:rsid w:val="002D5268"/>
    <w:rsid w:val="002D5317"/>
    <w:rsid w:val="002D6410"/>
    <w:rsid w:val="002E0675"/>
    <w:rsid w:val="002F1A4A"/>
    <w:rsid w:val="002F3F58"/>
    <w:rsid w:val="002F75D5"/>
    <w:rsid w:val="0030120B"/>
    <w:rsid w:val="0030157C"/>
    <w:rsid w:val="00306892"/>
    <w:rsid w:val="003076C2"/>
    <w:rsid w:val="00314E04"/>
    <w:rsid w:val="0032022D"/>
    <w:rsid w:val="00325120"/>
    <w:rsid w:val="00325981"/>
    <w:rsid w:val="00330C9E"/>
    <w:rsid w:val="00333E34"/>
    <w:rsid w:val="0033745F"/>
    <w:rsid w:val="00337841"/>
    <w:rsid w:val="003440C2"/>
    <w:rsid w:val="00346315"/>
    <w:rsid w:val="003470BA"/>
    <w:rsid w:val="003536DD"/>
    <w:rsid w:val="003540DB"/>
    <w:rsid w:val="003549E7"/>
    <w:rsid w:val="00362A48"/>
    <w:rsid w:val="003640B4"/>
    <w:rsid w:val="0036702F"/>
    <w:rsid w:val="00370BD8"/>
    <w:rsid w:val="00375F48"/>
    <w:rsid w:val="003835D2"/>
    <w:rsid w:val="00383F6F"/>
    <w:rsid w:val="00384258"/>
    <w:rsid w:val="0038478F"/>
    <w:rsid w:val="0038545C"/>
    <w:rsid w:val="00390612"/>
    <w:rsid w:val="00394D12"/>
    <w:rsid w:val="00394E8E"/>
    <w:rsid w:val="003A31C7"/>
    <w:rsid w:val="003A3263"/>
    <w:rsid w:val="003A59ED"/>
    <w:rsid w:val="003A60EC"/>
    <w:rsid w:val="003B03F6"/>
    <w:rsid w:val="003B66C1"/>
    <w:rsid w:val="003C01A4"/>
    <w:rsid w:val="003C3EB7"/>
    <w:rsid w:val="003C48C7"/>
    <w:rsid w:val="003D16B1"/>
    <w:rsid w:val="003D2260"/>
    <w:rsid w:val="003D313F"/>
    <w:rsid w:val="003D52DE"/>
    <w:rsid w:val="003D71C4"/>
    <w:rsid w:val="003E6BA6"/>
    <w:rsid w:val="003F1C43"/>
    <w:rsid w:val="003F255C"/>
    <w:rsid w:val="003F44E8"/>
    <w:rsid w:val="003F6FC5"/>
    <w:rsid w:val="003F78F6"/>
    <w:rsid w:val="00401597"/>
    <w:rsid w:val="0040246F"/>
    <w:rsid w:val="00410AB1"/>
    <w:rsid w:val="0042035B"/>
    <w:rsid w:val="00420B3B"/>
    <w:rsid w:val="00421C4B"/>
    <w:rsid w:val="00422A1F"/>
    <w:rsid w:val="00423FB8"/>
    <w:rsid w:val="00432CA4"/>
    <w:rsid w:val="00443D5B"/>
    <w:rsid w:val="0044704D"/>
    <w:rsid w:val="00454E3C"/>
    <w:rsid w:val="004616D8"/>
    <w:rsid w:val="00463334"/>
    <w:rsid w:val="00475CA7"/>
    <w:rsid w:val="00481288"/>
    <w:rsid w:val="00481679"/>
    <w:rsid w:val="00490609"/>
    <w:rsid w:val="00491FB4"/>
    <w:rsid w:val="00492B82"/>
    <w:rsid w:val="00492DF1"/>
    <w:rsid w:val="00497EB0"/>
    <w:rsid w:val="004A2825"/>
    <w:rsid w:val="004B3069"/>
    <w:rsid w:val="004B372D"/>
    <w:rsid w:val="004B7242"/>
    <w:rsid w:val="004B788C"/>
    <w:rsid w:val="004C129A"/>
    <w:rsid w:val="004C2CF4"/>
    <w:rsid w:val="004C3B30"/>
    <w:rsid w:val="004C4D2A"/>
    <w:rsid w:val="004C5633"/>
    <w:rsid w:val="004D432E"/>
    <w:rsid w:val="004D57B8"/>
    <w:rsid w:val="004E57BC"/>
    <w:rsid w:val="004E6B20"/>
    <w:rsid w:val="004F12C4"/>
    <w:rsid w:val="004F14EA"/>
    <w:rsid w:val="004F22E2"/>
    <w:rsid w:val="004F2C5B"/>
    <w:rsid w:val="004F2DAB"/>
    <w:rsid w:val="004F576C"/>
    <w:rsid w:val="004F79F9"/>
    <w:rsid w:val="005032B2"/>
    <w:rsid w:val="0051206A"/>
    <w:rsid w:val="00516DC7"/>
    <w:rsid w:val="00542764"/>
    <w:rsid w:val="00547385"/>
    <w:rsid w:val="005558B4"/>
    <w:rsid w:val="00557321"/>
    <w:rsid w:val="00563A2C"/>
    <w:rsid w:val="0057128B"/>
    <w:rsid w:val="00571BAE"/>
    <w:rsid w:val="00573BEE"/>
    <w:rsid w:val="0057474E"/>
    <w:rsid w:val="00581853"/>
    <w:rsid w:val="00585DCA"/>
    <w:rsid w:val="005901FB"/>
    <w:rsid w:val="00590C17"/>
    <w:rsid w:val="005917C2"/>
    <w:rsid w:val="00593594"/>
    <w:rsid w:val="005A0DE9"/>
    <w:rsid w:val="005B4C87"/>
    <w:rsid w:val="005B51C8"/>
    <w:rsid w:val="005B59AB"/>
    <w:rsid w:val="005B5FDB"/>
    <w:rsid w:val="005B720F"/>
    <w:rsid w:val="005C2405"/>
    <w:rsid w:val="005C623D"/>
    <w:rsid w:val="005C7BCF"/>
    <w:rsid w:val="005D01B5"/>
    <w:rsid w:val="005D10B3"/>
    <w:rsid w:val="005D2B08"/>
    <w:rsid w:val="005D6113"/>
    <w:rsid w:val="005D633D"/>
    <w:rsid w:val="005D70BC"/>
    <w:rsid w:val="005D7614"/>
    <w:rsid w:val="005E02E8"/>
    <w:rsid w:val="005E0419"/>
    <w:rsid w:val="005E0AB7"/>
    <w:rsid w:val="005E18C7"/>
    <w:rsid w:val="005E2CA7"/>
    <w:rsid w:val="005E37A0"/>
    <w:rsid w:val="005F0044"/>
    <w:rsid w:val="005F12A0"/>
    <w:rsid w:val="005F2C1C"/>
    <w:rsid w:val="005F734D"/>
    <w:rsid w:val="005F743F"/>
    <w:rsid w:val="00602BBA"/>
    <w:rsid w:val="00610D3E"/>
    <w:rsid w:val="00612084"/>
    <w:rsid w:val="00613F49"/>
    <w:rsid w:val="0061483C"/>
    <w:rsid w:val="00615027"/>
    <w:rsid w:val="00615AA1"/>
    <w:rsid w:val="00620310"/>
    <w:rsid w:val="00620C63"/>
    <w:rsid w:val="006214C9"/>
    <w:rsid w:val="006237EC"/>
    <w:rsid w:val="006249A0"/>
    <w:rsid w:val="00627354"/>
    <w:rsid w:val="00630A3C"/>
    <w:rsid w:val="0063189A"/>
    <w:rsid w:val="006337F2"/>
    <w:rsid w:val="0064249C"/>
    <w:rsid w:val="006476B6"/>
    <w:rsid w:val="006556E2"/>
    <w:rsid w:val="00655DA8"/>
    <w:rsid w:val="00656B04"/>
    <w:rsid w:val="0066497C"/>
    <w:rsid w:val="00665771"/>
    <w:rsid w:val="006663B9"/>
    <w:rsid w:val="0067141C"/>
    <w:rsid w:val="00674EBC"/>
    <w:rsid w:val="00676153"/>
    <w:rsid w:val="0067795D"/>
    <w:rsid w:val="00680D77"/>
    <w:rsid w:val="006810AE"/>
    <w:rsid w:val="00681A0B"/>
    <w:rsid w:val="006820DC"/>
    <w:rsid w:val="006860E9"/>
    <w:rsid w:val="006861A4"/>
    <w:rsid w:val="00687A10"/>
    <w:rsid w:val="0069085A"/>
    <w:rsid w:val="006920B7"/>
    <w:rsid w:val="006925AC"/>
    <w:rsid w:val="0069605A"/>
    <w:rsid w:val="006A114D"/>
    <w:rsid w:val="006A288B"/>
    <w:rsid w:val="006A5923"/>
    <w:rsid w:val="006C047E"/>
    <w:rsid w:val="006C0A38"/>
    <w:rsid w:val="006C5D44"/>
    <w:rsid w:val="006D2420"/>
    <w:rsid w:val="006D4B5A"/>
    <w:rsid w:val="006D72AC"/>
    <w:rsid w:val="006D7939"/>
    <w:rsid w:val="006E0C67"/>
    <w:rsid w:val="006F21E7"/>
    <w:rsid w:val="006F3B9E"/>
    <w:rsid w:val="006F4D13"/>
    <w:rsid w:val="006F755D"/>
    <w:rsid w:val="007077D8"/>
    <w:rsid w:val="00711AF9"/>
    <w:rsid w:val="00713265"/>
    <w:rsid w:val="0071673F"/>
    <w:rsid w:val="007223E5"/>
    <w:rsid w:val="007238A5"/>
    <w:rsid w:val="00724184"/>
    <w:rsid w:val="0072557F"/>
    <w:rsid w:val="00732F26"/>
    <w:rsid w:val="00734E30"/>
    <w:rsid w:val="00735B31"/>
    <w:rsid w:val="007363AD"/>
    <w:rsid w:val="007427F8"/>
    <w:rsid w:val="00745348"/>
    <w:rsid w:val="00747E5A"/>
    <w:rsid w:val="0075155D"/>
    <w:rsid w:val="00751765"/>
    <w:rsid w:val="007544D2"/>
    <w:rsid w:val="00754C7B"/>
    <w:rsid w:val="00756AB5"/>
    <w:rsid w:val="00765854"/>
    <w:rsid w:val="00766303"/>
    <w:rsid w:val="00766591"/>
    <w:rsid w:val="00785EDB"/>
    <w:rsid w:val="00792964"/>
    <w:rsid w:val="00793A84"/>
    <w:rsid w:val="00795417"/>
    <w:rsid w:val="007A0659"/>
    <w:rsid w:val="007A3793"/>
    <w:rsid w:val="007A53D0"/>
    <w:rsid w:val="007B0BDC"/>
    <w:rsid w:val="007B2527"/>
    <w:rsid w:val="007B3962"/>
    <w:rsid w:val="007B3E24"/>
    <w:rsid w:val="007B6C5C"/>
    <w:rsid w:val="007C1E9D"/>
    <w:rsid w:val="007C42D0"/>
    <w:rsid w:val="007C6CFC"/>
    <w:rsid w:val="007D08D0"/>
    <w:rsid w:val="007D38F4"/>
    <w:rsid w:val="007D73B0"/>
    <w:rsid w:val="007E007E"/>
    <w:rsid w:val="007E0195"/>
    <w:rsid w:val="007E3207"/>
    <w:rsid w:val="007F016F"/>
    <w:rsid w:val="00802319"/>
    <w:rsid w:val="00822B5B"/>
    <w:rsid w:val="00823EA5"/>
    <w:rsid w:val="00825BC5"/>
    <w:rsid w:val="00832E97"/>
    <w:rsid w:val="008363ED"/>
    <w:rsid w:val="00837BF6"/>
    <w:rsid w:val="0084198F"/>
    <w:rsid w:val="00846D3B"/>
    <w:rsid w:val="0085202A"/>
    <w:rsid w:val="00853596"/>
    <w:rsid w:val="00860D67"/>
    <w:rsid w:val="00861015"/>
    <w:rsid w:val="0086323F"/>
    <w:rsid w:val="008641CB"/>
    <w:rsid w:val="00864842"/>
    <w:rsid w:val="008654D8"/>
    <w:rsid w:val="008656D7"/>
    <w:rsid w:val="00866061"/>
    <w:rsid w:val="0086653F"/>
    <w:rsid w:val="00866E1F"/>
    <w:rsid w:val="00867BAD"/>
    <w:rsid w:val="008724E9"/>
    <w:rsid w:val="00872E3A"/>
    <w:rsid w:val="00876FDF"/>
    <w:rsid w:val="00882BBA"/>
    <w:rsid w:val="00883C12"/>
    <w:rsid w:val="0089007E"/>
    <w:rsid w:val="008909B8"/>
    <w:rsid w:val="00892F2E"/>
    <w:rsid w:val="008A0D52"/>
    <w:rsid w:val="008A1173"/>
    <w:rsid w:val="008A5940"/>
    <w:rsid w:val="008B11C2"/>
    <w:rsid w:val="008B2425"/>
    <w:rsid w:val="008B332C"/>
    <w:rsid w:val="008B4AB0"/>
    <w:rsid w:val="008B4AC8"/>
    <w:rsid w:val="008C6311"/>
    <w:rsid w:val="008C72E3"/>
    <w:rsid w:val="008D58A1"/>
    <w:rsid w:val="008E1D45"/>
    <w:rsid w:val="008E3366"/>
    <w:rsid w:val="008E3D31"/>
    <w:rsid w:val="008E3D44"/>
    <w:rsid w:val="008E79E9"/>
    <w:rsid w:val="008F01F4"/>
    <w:rsid w:val="008F23F3"/>
    <w:rsid w:val="008F2E75"/>
    <w:rsid w:val="008F6B9C"/>
    <w:rsid w:val="009042FA"/>
    <w:rsid w:val="00905C5E"/>
    <w:rsid w:val="00910A08"/>
    <w:rsid w:val="00910A39"/>
    <w:rsid w:val="00910CC2"/>
    <w:rsid w:val="00912354"/>
    <w:rsid w:val="00914DB3"/>
    <w:rsid w:val="00915D0A"/>
    <w:rsid w:val="00916FBA"/>
    <w:rsid w:val="00922244"/>
    <w:rsid w:val="00922E91"/>
    <w:rsid w:val="00932C59"/>
    <w:rsid w:val="0093367F"/>
    <w:rsid w:val="00934C82"/>
    <w:rsid w:val="00941025"/>
    <w:rsid w:val="009412D7"/>
    <w:rsid w:val="00953F1B"/>
    <w:rsid w:val="00954275"/>
    <w:rsid w:val="009575F0"/>
    <w:rsid w:val="00960280"/>
    <w:rsid w:val="00965709"/>
    <w:rsid w:val="00967095"/>
    <w:rsid w:val="00967ED3"/>
    <w:rsid w:val="009746C3"/>
    <w:rsid w:val="0097709A"/>
    <w:rsid w:val="00980718"/>
    <w:rsid w:val="009826E0"/>
    <w:rsid w:val="009833D4"/>
    <w:rsid w:val="00984207"/>
    <w:rsid w:val="00990B92"/>
    <w:rsid w:val="00990F27"/>
    <w:rsid w:val="00993D5B"/>
    <w:rsid w:val="009979B4"/>
    <w:rsid w:val="009A413B"/>
    <w:rsid w:val="009A587F"/>
    <w:rsid w:val="009A58D1"/>
    <w:rsid w:val="009B01D6"/>
    <w:rsid w:val="009B2D25"/>
    <w:rsid w:val="009B4380"/>
    <w:rsid w:val="009C0BF0"/>
    <w:rsid w:val="009C3116"/>
    <w:rsid w:val="009D048F"/>
    <w:rsid w:val="009D2157"/>
    <w:rsid w:val="009D33D2"/>
    <w:rsid w:val="009F2DBA"/>
    <w:rsid w:val="009F2F86"/>
    <w:rsid w:val="009F3863"/>
    <w:rsid w:val="009F3FEB"/>
    <w:rsid w:val="00A01A94"/>
    <w:rsid w:val="00A044ED"/>
    <w:rsid w:val="00A05F23"/>
    <w:rsid w:val="00A06F61"/>
    <w:rsid w:val="00A07521"/>
    <w:rsid w:val="00A10175"/>
    <w:rsid w:val="00A14424"/>
    <w:rsid w:val="00A16E79"/>
    <w:rsid w:val="00A22F99"/>
    <w:rsid w:val="00A248C3"/>
    <w:rsid w:val="00A26A42"/>
    <w:rsid w:val="00A26F02"/>
    <w:rsid w:val="00A36117"/>
    <w:rsid w:val="00A36A95"/>
    <w:rsid w:val="00A3794C"/>
    <w:rsid w:val="00A40EB8"/>
    <w:rsid w:val="00A42254"/>
    <w:rsid w:val="00A432C7"/>
    <w:rsid w:val="00A5015D"/>
    <w:rsid w:val="00A51A2C"/>
    <w:rsid w:val="00A52091"/>
    <w:rsid w:val="00A6643F"/>
    <w:rsid w:val="00A66C82"/>
    <w:rsid w:val="00A66DEC"/>
    <w:rsid w:val="00A70620"/>
    <w:rsid w:val="00A828CF"/>
    <w:rsid w:val="00A82ED9"/>
    <w:rsid w:val="00A8352B"/>
    <w:rsid w:val="00A84A02"/>
    <w:rsid w:val="00A90C33"/>
    <w:rsid w:val="00A92241"/>
    <w:rsid w:val="00A95AC1"/>
    <w:rsid w:val="00A95CDB"/>
    <w:rsid w:val="00AA6B8C"/>
    <w:rsid w:val="00AB0342"/>
    <w:rsid w:val="00AB3884"/>
    <w:rsid w:val="00AB4590"/>
    <w:rsid w:val="00AB7925"/>
    <w:rsid w:val="00AC5120"/>
    <w:rsid w:val="00AC5B4F"/>
    <w:rsid w:val="00AD25AD"/>
    <w:rsid w:val="00AD467D"/>
    <w:rsid w:val="00AD4CA1"/>
    <w:rsid w:val="00AD4EE3"/>
    <w:rsid w:val="00AD7ABB"/>
    <w:rsid w:val="00AE400B"/>
    <w:rsid w:val="00AE69E3"/>
    <w:rsid w:val="00AF6288"/>
    <w:rsid w:val="00B015DB"/>
    <w:rsid w:val="00B043C8"/>
    <w:rsid w:val="00B05122"/>
    <w:rsid w:val="00B05686"/>
    <w:rsid w:val="00B120DE"/>
    <w:rsid w:val="00B214BE"/>
    <w:rsid w:val="00B27FBA"/>
    <w:rsid w:val="00B34659"/>
    <w:rsid w:val="00B35234"/>
    <w:rsid w:val="00B3649A"/>
    <w:rsid w:val="00B37F7B"/>
    <w:rsid w:val="00B429E2"/>
    <w:rsid w:val="00B43695"/>
    <w:rsid w:val="00B54142"/>
    <w:rsid w:val="00B5547B"/>
    <w:rsid w:val="00B561BB"/>
    <w:rsid w:val="00B57562"/>
    <w:rsid w:val="00B61871"/>
    <w:rsid w:val="00B7084E"/>
    <w:rsid w:val="00B7143C"/>
    <w:rsid w:val="00B71822"/>
    <w:rsid w:val="00B77428"/>
    <w:rsid w:val="00B8044B"/>
    <w:rsid w:val="00B8056D"/>
    <w:rsid w:val="00B81A1E"/>
    <w:rsid w:val="00B86F0C"/>
    <w:rsid w:val="00B918EB"/>
    <w:rsid w:val="00BA0FAD"/>
    <w:rsid w:val="00BA1191"/>
    <w:rsid w:val="00BA35AA"/>
    <w:rsid w:val="00BB0577"/>
    <w:rsid w:val="00BB37A8"/>
    <w:rsid w:val="00BB3C4B"/>
    <w:rsid w:val="00BB58FF"/>
    <w:rsid w:val="00BB5D1C"/>
    <w:rsid w:val="00BB635D"/>
    <w:rsid w:val="00BC7777"/>
    <w:rsid w:val="00BD0DDF"/>
    <w:rsid w:val="00BD4275"/>
    <w:rsid w:val="00BD4BC3"/>
    <w:rsid w:val="00BE07AF"/>
    <w:rsid w:val="00BE324C"/>
    <w:rsid w:val="00BE3ECD"/>
    <w:rsid w:val="00BE545D"/>
    <w:rsid w:val="00BE6978"/>
    <w:rsid w:val="00BF021E"/>
    <w:rsid w:val="00BF276F"/>
    <w:rsid w:val="00BF52B6"/>
    <w:rsid w:val="00C006AC"/>
    <w:rsid w:val="00C028DE"/>
    <w:rsid w:val="00C030C0"/>
    <w:rsid w:val="00C048FE"/>
    <w:rsid w:val="00C12172"/>
    <w:rsid w:val="00C164F1"/>
    <w:rsid w:val="00C2226B"/>
    <w:rsid w:val="00C31615"/>
    <w:rsid w:val="00C3503B"/>
    <w:rsid w:val="00C35E5B"/>
    <w:rsid w:val="00C43CE9"/>
    <w:rsid w:val="00C43D3B"/>
    <w:rsid w:val="00C522A2"/>
    <w:rsid w:val="00C54449"/>
    <w:rsid w:val="00C56D92"/>
    <w:rsid w:val="00C578DE"/>
    <w:rsid w:val="00C60976"/>
    <w:rsid w:val="00C615DE"/>
    <w:rsid w:val="00C62E3B"/>
    <w:rsid w:val="00C630EB"/>
    <w:rsid w:val="00C7178B"/>
    <w:rsid w:val="00C74969"/>
    <w:rsid w:val="00C764A1"/>
    <w:rsid w:val="00C770CD"/>
    <w:rsid w:val="00C83D5D"/>
    <w:rsid w:val="00C95892"/>
    <w:rsid w:val="00C97860"/>
    <w:rsid w:val="00CB67FD"/>
    <w:rsid w:val="00CC32F1"/>
    <w:rsid w:val="00CC4B15"/>
    <w:rsid w:val="00CD5908"/>
    <w:rsid w:val="00CE3265"/>
    <w:rsid w:val="00CF2090"/>
    <w:rsid w:val="00CF7653"/>
    <w:rsid w:val="00D01397"/>
    <w:rsid w:val="00D11F61"/>
    <w:rsid w:val="00D24FFC"/>
    <w:rsid w:val="00D269D0"/>
    <w:rsid w:val="00D360AC"/>
    <w:rsid w:val="00D363FA"/>
    <w:rsid w:val="00D46B12"/>
    <w:rsid w:val="00D47182"/>
    <w:rsid w:val="00D47893"/>
    <w:rsid w:val="00D51A84"/>
    <w:rsid w:val="00D52DF8"/>
    <w:rsid w:val="00D54C33"/>
    <w:rsid w:val="00D55A12"/>
    <w:rsid w:val="00D56606"/>
    <w:rsid w:val="00D6050C"/>
    <w:rsid w:val="00D63940"/>
    <w:rsid w:val="00D63A0B"/>
    <w:rsid w:val="00D65997"/>
    <w:rsid w:val="00D661F4"/>
    <w:rsid w:val="00D66D1E"/>
    <w:rsid w:val="00D724B1"/>
    <w:rsid w:val="00D7267F"/>
    <w:rsid w:val="00D72E8F"/>
    <w:rsid w:val="00D73892"/>
    <w:rsid w:val="00D8308C"/>
    <w:rsid w:val="00D84BE8"/>
    <w:rsid w:val="00D84E1F"/>
    <w:rsid w:val="00D85957"/>
    <w:rsid w:val="00D8605B"/>
    <w:rsid w:val="00D8668B"/>
    <w:rsid w:val="00D926E5"/>
    <w:rsid w:val="00D9287E"/>
    <w:rsid w:val="00D92F5A"/>
    <w:rsid w:val="00D93F0D"/>
    <w:rsid w:val="00D94FC0"/>
    <w:rsid w:val="00D9766D"/>
    <w:rsid w:val="00DB0F69"/>
    <w:rsid w:val="00DB308D"/>
    <w:rsid w:val="00DB5C7D"/>
    <w:rsid w:val="00DB5D63"/>
    <w:rsid w:val="00DB6115"/>
    <w:rsid w:val="00DB7CE7"/>
    <w:rsid w:val="00DC246E"/>
    <w:rsid w:val="00DC3321"/>
    <w:rsid w:val="00DC36FC"/>
    <w:rsid w:val="00DC64BA"/>
    <w:rsid w:val="00DD046F"/>
    <w:rsid w:val="00DD6110"/>
    <w:rsid w:val="00DE17D3"/>
    <w:rsid w:val="00DE23A4"/>
    <w:rsid w:val="00DE2E53"/>
    <w:rsid w:val="00DE4AB6"/>
    <w:rsid w:val="00DE540B"/>
    <w:rsid w:val="00DF03A3"/>
    <w:rsid w:val="00DF2A6E"/>
    <w:rsid w:val="00E005B1"/>
    <w:rsid w:val="00E11868"/>
    <w:rsid w:val="00E13C47"/>
    <w:rsid w:val="00E13C67"/>
    <w:rsid w:val="00E13DB4"/>
    <w:rsid w:val="00E15711"/>
    <w:rsid w:val="00E16D51"/>
    <w:rsid w:val="00E2147D"/>
    <w:rsid w:val="00E21523"/>
    <w:rsid w:val="00E21F12"/>
    <w:rsid w:val="00E25BE2"/>
    <w:rsid w:val="00E26172"/>
    <w:rsid w:val="00E330E4"/>
    <w:rsid w:val="00E35FA1"/>
    <w:rsid w:val="00E40F18"/>
    <w:rsid w:val="00E415CF"/>
    <w:rsid w:val="00E428BC"/>
    <w:rsid w:val="00E465A5"/>
    <w:rsid w:val="00E50ED3"/>
    <w:rsid w:val="00E52B0B"/>
    <w:rsid w:val="00E54F84"/>
    <w:rsid w:val="00E5633B"/>
    <w:rsid w:val="00E65F47"/>
    <w:rsid w:val="00E73F5D"/>
    <w:rsid w:val="00E74726"/>
    <w:rsid w:val="00E76380"/>
    <w:rsid w:val="00E80CB0"/>
    <w:rsid w:val="00E80E3B"/>
    <w:rsid w:val="00E83012"/>
    <w:rsid w:val="00E94E13"/>
    <w:rsid w:val="00E95E44"/>
    <w:rsid w:val="00E9742C"/>
    <w:rsid w:val="00EA02C4"/>
    <w:rsid w:val="00EA151E"/>
    <w:rsid w:val="00EA5CF1"/>
    <w:rsid w:val="00EB1387"/>
    <w:rsid w:val="00EB6B38"/>
    <w:rsid w:val="00EB6FE0"/>
    <w:rsid w:val="00EB77F9"/>
    <w:rsid w:val="00EC1838"/>
    <w:rsid w:val="00EC6E98"/>
    <w:rsid w:val="00ED3A25"/>
    <w:rsid w:val="00ED593A"/>
    <w:rsid w:val="00ED758C"/>
    <w:rsid w:val="00ED7FFC"/>
    <w:rsid w:val="00EE734B"/>
    <w:rsid w:val="00EE7382"/>
    <w:rsid w:val="00EF1285"/>
    <w:rsid w:val="00EF456A"/>
    <w:rsid w:val="00EF6024"/>
    <w:rsid w:val="00EF6BCC"/>
    <w:rsid w:val="00F00FE7"/>
    <w:rsid w:val="00F07B30"/>
    <w:rsid w:val="00F10D71"/>
    <w:rsid w:val="00F141C0"/>
    <w:rsid w:val="00F176C4"/>
    <w:rsid w:val="00F2052A"/>
    <w:rsid w:val="00F20AD8"/>
    <w:rsid w:val="00F22656"/>
    <w:rsid w:val="00F25D27"/>
    <w:rsid w:val="00F25ECE"/>
    <w:rsid w:val="00F31E7D"/>
    <w:rsid w:val="00F34BAD"/>
    <w:rsid w:val="00F40DD5"/>
    <w:rsid w:val="00F42CD8"/>
    <w:rsid w:val="00F438EE"/>
    <w:rsid w:val="00F449F0"/>
    <w:rsid w:val="00F4757D"/>
    <w:rsid w:val="00F47916"/>
    <w:rsid w:val="00F5185F"/>
    <w:rsid w:val="00F565F5"/>
    <w:rsid w:val="00F57499"/>
    <w:rsid w:val="00F60D50"/>
    <w:rsid w:val="00F760BE"/>
    <w:rsid w:val="00F7789E"/>
    <w:rsid w:val="00F801FE"/>
    <w:rsid w:val="00F80BBC"/>
    <w:rsid w:val="00F82084"/>
    <w:rsid w:val="00F828E6"/>
    <w:rsid w:val="00F8368D"/>
    <w:rsid w:val="00F8454D"/>
    <w:rsid w:val="00F948B6"/>
    <w:rsid w:val="00F9719D"/>
    <w:rsid w:val="00FA0938"/>
    <w:rsid w:val="00FA51DF"/>
    <w:rsid w:val="00FA5F81"/>
    <w:rsid w:val="00FA721B"/>
    <w:rsid w:val="00FB1EBE"/>
    <w:rsid w:val="00FC34C3"/>
    <w:rsid w:val="00FC7499"/>
    <w:rsid w:val="00FD1335"/>
    <w:rsid w:val="00FD5A72"/>
    <w:rsid w:val="00FE3B56"/>
    <w:rsid w:val="00FF0547"/>
    <w:rsid w:val="00FF0A48"/>
    <w:rsid w:val="00FF1BE6"/>
    <w:rsid w:val="00FF2199"/>
    <w:rsid w:val="00FF2F6F"/>
    <w:rsid w:val="00FF694E"/>
    <w:rsid w:val="354CC502"/>
    <w:rsid w:val="3B8D48C0"/>
    <w:rsid w:val="3F288DA3"/>
    <w:rsid w:val="535E0E25"/>
    <w:rsid w:val="7E0E6346"/>
    <w:rsid w:val="7E10F2F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97F40"/>
  <w15:chartTrackingRefBased/>
  <w15:docId w15:val="{60965D92-ACC6-4B6B-9272-751901CD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ind w:left="56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025"/>
    <w:pPr>
      <w:ind w:left="0"/>
    </w:pPr>
    <w:rPr>
      <w:rFonts w:ascii="Lato" w:hAnsi="Lato"/>
      <w:sz w:val="16"/>
      <w:szCs w:val="16"/>
      <w:lang w:val="en-US"/>
    </w:rPr>
  </w:style>
  <w:style w:type="paragraph" w:styleId="Heading2">
    <w:name w:val="heading 2"/>
    <w:basedOn w:val="H2"/>
    <w:next w:val="Normal"/>
    <w:link w:val="Heading2Char"/>
    <w:uiPriority w:val="9"/>
    <w:unhideWhenUsed/>
    <w:qFormat/>
    <w:rsid w:val="00E35FA1"/>
    <w:pPr>
      <w:spacing w:after="200"/>
      <w:outlineLvl w:val="1"/>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66D"/>
    <w:pPr>
      <w:ind w:left="720"/>
      <w:contextualSpacing/>
    </w:pPr>
  </w:style>
  <w:style w:type="character" w:styleId="Hyperlink">
    <w:name w:val="Hyperlink"/>
    <w:basedOn w:val="DefaultParagraphFont"/>
    <w:uiPriority w:val="99"/>
    <w:unhideWhenUsed/>
    <w:rsid w:val="00953F1B"/>
    <w:rPr>
      <w:color w:val="0563C1" w:themeColor="hyperlink"/>
      <w:u w:val="single"/>
    </w:rPr>
  </w:style>
  <w:style w:type="paragraph" w:styleId="EndnoteText">
    <w:name w:val="endnote text"/>
    <w:basedOn w:val="Normal"/>
    <w:link w:val="EndnoteTextChar"/>
    <w:uiPriority w:val="99"/>
    <w:unhideWhenUsed/>
    <w:rsid w:val="0086653F"/>
    <w:rPr>
      <w:szCs w:val="20"/>
    </w:rPr>
  </w:style>
  <w:style w:type="character" w:customStyle="1" w:styleId="EndnoteTextChar">
    <w:name w:val="Endnote Text Char"/>
    <w:basedOn w:val="DefaultParagraphFont"/>
    <w:link w:val="EndnoteText"/>
    <w:uiPriority w:val="99"/>
    <w:rsid w:val="0086653F"/>
    <w:rPr>
      <w:rFonts w:ascii="Lato" w:hAnsi="Lato"/>
      <w:sz w:val="16"/>
      <w:szCs w:val="20"/>
      <w:lang w:val="en-US"/>
    </w:rPr>
  </w:style>
  <w:style w:type="character" w:styleId="EndnoteReference">
    <w:name w:val="endnote reference"/>
    <w:basedOn w:val="DefaultParagraphFont"/>
    <w:uiPriority w:val="99"/>
    <w:semiHidden/>
    <w:unhideWhenUsed/>
    <w:rsid w:val="00953F1B"/>
    <w:rPr>
      <w:vertAlign w:val="superscript"/>
    </w:rPr>
  </w:style>
  <w:style w:type="table" w:styleId="TableGrid">
    <w:name w:val="Table Grid"/>
    <w:basedOn w:val="TableNormal"/>
    <w:uiPriority w:val="59"/>
    <w:rsid w:val="000F0136"/>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5122"/>
    <w:rPr>
      <w:color w:val="605E5C"/>
      <w:shd w:val="clear" w:color="auto" w:fill="E1DFDD"/>
    </w:rPr>
  </w:style>
  <w:style w:type="character" w:styleId="FollowedHyperlink">
    <w:name w:val="FollowedHyperlink"/>
    <w:basedOn w:val="DefaultParagraphFont"/>
    <w:uiPriority w:val="99"/>
    <w:semiHidden/>
    <w:unhideWhenUsed/>
    <w:rsid w:val="00EF456A"/>
    <w:rPr>
      <w:color w:val="954F72" w:themeColor="followedHyperlink"/>
      <w:u w:val="single"/>
    </w:rPr>
  </w:style>
  <w:style w:type="character" w:styleId="CommentReference">
    <w:name w:val="annotation reference"/>
    <w:basedOn w:val="DefaultParagraphFont"/>
    <w:uiPriority w:val="99"/>
    <w:semiHidden/>
    <w:unhideWhenUsed/>
    <w:rsid w:val="004D432E"/>
    <w:rPr>
      <w:sz w:val="16"/>
      <w:szCs w:val="16"/>
    </w:rPr>
  </w:style>
  <w:style w:type="paragraph" w:styleId="CommentText">
    <w:name w:val="annotation text"/>
    <w:basedOn w:val="Normal"/>
    <w:link w:val="CommentTextChar"/>
    <w:uiPriority w:val="99"/>
    <w:unhideWhenUsed/>
    <w:rsid w:val="004D432E"/>
    <w:rPr>
      <w:sz w:val="20"/>
      <w:szCs w:val="20"/>
    </w:rPr>
  </w:style>
  <w:style w:type="character" w:customStyle="1" w:styleId="CommentTextChar">
    <w:name w:val="Comment Text Char"/>
    <w:basedOn w:val="DefaultParagraphFont"/>
    <w:link w:val="CommentText"/>
    <w:uiPriority w:val="99"/>
    <w:rsid w:val="004D432E"/>
    <w:rPr>
      <w:sz w:val="20"/>
      <w:szCs w:val="20"/>
    </w:rPr>
  </w:style>
  <w:style w:type="paragraph" w:styleId="CommentSubject">
    <w:name w:val="annotation subject"/>
    <w:basedOn w:val="CommentText"/>
    <w:next w:val="CommentText"/>
    <w:link w:val="CommentSubjectChar"/>
    <w:uiPriority w:val="99"/>
    <w:semiHidden/>
    <w:unhideWhenUsed/>
    <w:rsid w:val="004D432E"/>
    <w:rPr>
      <w:b/>
      <w:bCs/>
    </w:rPr>
  </w:style>
  <w:style w:type="character" w:customStyle="1" w:styleId="CommentSubjectChar">
    <w:name w:val="Comment Subject Char"/>
    <w:basedOn w:val="CommentTextChar"/>
    <w:link w:val="CommentSubject"/>
    <w:uiPriority w:val="99"/>
    <w:semiHidden/>
    <w:rsid w:val="004D432E"/>
    <w:rPr>
      <w:b/>
      <w:bCs/>
      <w:sz w:val="20"/>
      <w:szCs w:val="20"/>
    </w:rPr>
  </w:style>
  <w:style w:type="paragraph" w:styleId="Revision">
    <w:name w:val="Revision"/>
    <w:hidden/>
    <w:uiPriority w:val="99"/>
    <w:semiHidden/>
    <w:rsid w:val="006337F2"/>
    <w:pPr>
      <w:ind w:left="0"/>
    </w:pPr>
  </w:style>
  <w:style w:type="character" w:styleId="PlaceholderText">
    <w:name w:val="Placeholder Text"/>
    <w:basedOn w:val="DefaultParagraphFont"/>
    <w:uiPriority w:val="99"/>
    <w:semiHidden/>
    <w:rsid w:val="000F018E"/>
    <w:rPr>
      <w:color w:val="808080"/>
    </w:rPr>
  </w:style>
  <w:style w:type="paragraph" w:styleId="NoSpacing">
    <w:name w:val="No Spacing"/>
    <w:link w:val="NoSpacingChar"/>
    <w:uiPriority w:val="1"/>
    <w:qFormat/>
    <w:rsid w:val="00BE3ECD"/>
    <w:pPr>
      <w:ind w:left="0"/>
    </w:pPr>
    <w:rPr>
      <w:rFonts w:ascii="Lato" w:hAnsi="Lato" w:cstheme="minorHAnsi"/>
      <w:sz w:val="16"/>
      <w:szCs w:val="16"/>
      <w:lang w:val="en-US"/>
    </w:rPr>
  </w:style>
  <w:style w:type="paragraph" w:styleId="Header">
    <w:name w:val="header"/>
    <w:basedOn w:val="Normal"/>
    <w:link w:val="HeaderChar"/>
    <w:uiPriority w:val="99"/>
    <w:unhideWhenUsed/>
    <w:rsid w:val="00080F4A"/>
    <w:pPr>
      <w:tabs>
        <w:tab w:val="center" w:pos="4680"/>
        <w:tab w:val="right" w:pos="9360"/>
      </w:tabs>
    </w:pPr>
  </w:style>
  <w:style w:type="character" w:customStyle="1" w:styleId="HeaderChar">
    <w:name w:val="Header Char"/>
    <w:basedOn w:val="DefaultParagraphFont"/>
    <w:link w:val="Header"/>
    <w:uiPriority w:val="99"/>
    <w:rsid w:val="00080F4A"/>
  </w:style>
  <w:style w:type="paragraph" w:styleId="Footer">
    <w:name w:val="footer"/>
    <w:basedOn w:val="Normal"/>
    <w:link w:val="FooterChar"/>
    <w:uiPriority w:val="99"/>
    <w:unhideWhenUsed/>
    <w:rsid w:val="00383F6F"/>
    <w:pPr>
      <w:tabs>
        <w:tab w:val="center" w:pos="4680"/>
        <w:tab w:val="right" w:pos="9360"/>
      </w:tabs>
    </w:pPr>
  </w:style>
  <w:style w:type="character" w:customStyle="1" w:styleId="FooterChar">
    <w:name w:val="Footer Char"/>
    <w:basedOn w:val="DefaultParagraphFont"/>
    <w:link w:val="Footer"/>
    <w:uiPriority w:val="99"/>
    <w:rsid w:val="00383F6F"/>
  </w:style>
  <w:style w:type="character" w:customStyle="1" w:styleId="NoSpacingChar">
    <w:name w:val="No Spacing Char"/>
    <w:basedOn w:val="DefaultParagraphFont"/>
    <w:link w:val="NoSpacing"/>
    <w:uiPriority w:val="1"/>
    <w:rsid w:val="00BE3ECD"/>
    <w:rPr>
      <w:rFonts w:ascii="Lato" w:hAnsi="Lato" w:cstheme="minorHAnsi"/>
      <w:sz w:val="16"/>
      <w:szCs w:val="16"/>
      <w:lang w:val="en-US"/>
    </w:rPr>
  </w:style>
  <w:style w:type="paragraph" w:styleId="Title">
    <w:name w:val="Title"/>
    <w:basedOn w:val="Normal"/>
    <w:next w:val="Normal"/>
    <w:link w:val="TitleChar"/>
    <w:uiPriority w:val="10"/>
    <w:qFormat/>
    <w:rsid w:val="00C95892"/>
    <w:pPr>
      <w:spacing w:line="276" w:lineRule="auto"/>
    </w:pPr>
    <w:rPr>
      <w:rFonts w:ascii="Lato Black" w:eastAsiaTheme="majorEastAsia" w:hAnsi="Lato Black" w:cstheme="majorBidi"/>
      <w:color w:val="8BAE3D"/>
      <w:spacing w:val="10"/>
      <w:sz w:val="48"/>
      <w:szCs w:val="48"/>
    </w:rPr>
  </w:style>
  <w:style w:type="character" w:customStyle="1" w:styleId="TitleChar">
    <w:name w:val="Title Char"/>
    <w:basedOn w:val="DefaultParagraphFont"/>
    <w:link w:val="Title"/>
    <w:uiPriority w:val="10"/>
    <w:rsid w:val="00C95892"/>
    <w:rPr>
      <w:rFonts w:ascii="Lato Black" w:eastAsiaTheme="majorEastAsia" w:hAnsi="Lato Black" w:cstheme="majorBidi"/>
      <w:color w:val="8BAE3D"/>
      <w:spacing w:val="10"/>
      <w:sz w:val="48"/>
      <w:szCs w:val="48"/>
      <w:lang w:val="en-US"/>
    </w:rPr>
  </w:style>
  <w:style w:type="table" w:styleId="PlainTable3">
    <w:name w:val="Plain Table 3"/>
    <w:basedOn w:val="TableNormal"/>
    <w:uiPriority w:val="43"/>
    <w:rsid w:val="00DD046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noteText">
    <w:name w:val="footnote text"/>
    <w:basedOn w:val="Normal"/>
    <w:link w:val="FootnoteTextChar"/>
    <w:uiPriority w:val="99"/>
    <w:semiHidden/>
    <w:unhideWhenUsed/>
    <w:rsid w:val="00882BBA"/>
    <w:rPr>
      <w:sz w:val="20"/>
      <w:szCs w:val="20"/>
    </w:rPr>
  </w:style>
  <w:style w:type="character" w:customStyle="1" w:styleId="FootnoteTextChar">
    <w:name w:val="Footnote Text Char"/>
    <w:basedOn w:val="DefaultParagraphFont"/>
    <w:link w:val="FootnoteText"/>
    <w:uiPriority w:val="99"/>
    <w:semiHidden/>
    <w:rsid w:val="00882BBA"/>
    <w:rPr>
      <w:sz w:val="20"/>
      <w:szCs w:val="20"/>
    </w:rPr>
  </w:style>
  <w:style w:type="character" w:styleId="FootnoteReference">
    <w:name w:val="footnote reference"/>
    <w:basedOn w:val="DefaultParagraphFont"/>
    <w:uiPriority w:val="99"/>
    <w:semiHidden/>
    <w:unhideWhenUsed/>
    <w:rsid w:val="00882BBA"/>
    <w:rPr>
      <w:vertAlign w:val="superscript"/>
    </w:rPr>
  </w:style>
  <w:style w:type="paragraph" w:customStyle="1" w:styleId="H2">
    <w:name w:val="H2"/>
    <w:basedOn w:val="NoSpacing"/>
    <w:qFormat/>
    <w:rsid w:val="002D5317"/>
    <w:pPr>
      <w:spacing w:before="240" w:after="160"/>
    </w:pPr>
    <w:rPr>
      <w:rFonts w:ascii="Lato Black" w:hAnsi="Lato Black"/>
      <w:b/>
      <w:bCs/>
      <w:sz w:val="22"/>
      <w:szCs w:val="22"/>
    </w:rPr>
  </w:style>
  <w:style w:type="paragraph" w:customStyle="1" w:styleId="H3">
    <w:name w:val="H3"/>
    <w:basedOn w:val="NoSpacing"/>
    <w:qFormat/>
    <w:rsid w:val="005917C2"/>
    <w:rPr>
      <w:rFonts w:ascii="Lato Black" w:hAnsi="Lato Black"/>
      <w:b/>
      <w:bCs/>
      <w:sz w:val="20"/>
      <w:szCs w:val="20"/>
    </w:rPr>
  </w:style>
  <w:style w:type="paragraph" w:customStyle="1" w:styleId="StepDescription">
    <w:name w:val="Step Description"/>
    <w:basedOn w:val="Normal"/>
    <w:qFormat/>
    <w:rsid w:val="00F60D50"/>
    <w:pPr>
      <w:spacing w:after="120"/>
    </w:pPr>
  </w:style>
  <w:style w:type="paragraph" w:customStyle="1" w:styleId="TableHeaders">
    <w:name w:val="Table Headers"/>
    <w:basedOn w:val="NoSpacing"/>
    <w:qFormat/>
    <w:rsid w:val="00314E04"/>
    <w:rPr>
      <w:rFonts w:ascii="Arial Narrow" w:hAnsi="Arial Narrow"/>
      <w:b/>
      <w:bCs/>
      <w:sz w:val="14"/>
      <w:szCs w:val="14"/>
    </w:rPr>
  </w:style>
  <w:style w:type="character" w:customStyle="1" w:styleId="H2-Subheading">
    <w:name w:val="H2 - Subheading"/>
    <w:basedOn w:val="DefaultParagraphFont"/>
    <w:uiPriority w:val="1"/>
    <w:qFormat/>
    <w:rsid w:val="00D93F0D"/>
    <w:rPr>
      <w:rFonts w:ascii="Lato" w:hAnsi="Lato"/>
    </w:rPr>
  </w:style>
  <w:style w:type="character" w:customStyle="1" w:styleId="Heading2Char">
    <w:name w:val="Heading 2 Char"/>
    <w:basedOn w:val="DefaultParagraphFont"/>
    <w:link w:val="Heading2"/>
    <w:uiPriority w:val="9"/>
    <w:rsid w:val="00E35FA1"/>
    <w:rPr>
      <w:rFonts w:ascii="Lato Black" w:hAnsi="Lato Black" w:cstheme="minorHAnsi"/>
      <w:sz w:val="24"/>
      <w:szCs w:val="24"/>
      <w:lang w:val="en-US"/>
    </w:rPr>
  </w:style>
  <w:style w:type="paragraph" w:customStyle="1" w:styleId="Endnote-H5">
    <w:name w:val="Endnote - H5"/>
    <w:basedOn w:val="EndnoteText"/>
    <w:link w:val="Endnote-H5Char"/>
    <w:qFormat/>
    <w:rsid w:val="00432CA4"/>
    <w:pPr>
      <w:spacing w:before="120" w:line="160" w:lineRule="exact"/>
      <w:ind w:firstLine="86"/>
    </w:pPr>
    <w:rPr>
      <w:b/>
      <w:bCs/>
      <w:caps/>
      <w:lang w:val="en-CA"/>
    </w:rPr>
  </w:style>
  <w:style w:type="paragraph" w:customStyle="1" w:styleId="Endnote-Context">
    <w:name w:val="Endnote - Context"/>
    <w:basedOn w:val="EndnoteText"/>
    <w:qFormat/>
    <w:rsid w:val="00A05F23"/>
    <w:pPr>
      <w:pBdr>
        <w:top w:val="single" w:sz="4" w:space="4" w:color="F2F2F2" w:themeColor="background1" w:themeShade="F2"/>
        <w:left w:val="single" w:sz="4" w:space="4" w:color="F2F2F2" w:themeColor="background1" w:themeShade="F2"/>
        <w:bottom w:val="single" w:sz="4" w:space="4" w:color="F2F2F2" w:themeColor="background1" w:themeShade="F2"/>
        <w:right w:val="single" w:sz="4" w:space="4" w:color="F2F2F2" w:themeColor="background1" w:themeShade="F2"/>
      </w:pBdr>
      <w:shd w:val="clear" w:color="auto" w:fill="F2F2F2" w:themeFill="background1" w:themeFillShade="F2"/>
      <w:spacing w:before="40" w:after="40"/>
      <w:ind w:left="270"/>
    </w:pPr>
  </w:style>
  <w:style w:type="character" w:customStyle="1" w:styleId="Endnote-H5Char">
    <w:name w:val="Endnote - H5 Char"/>
    <w:basedOn w:val="EndnoteTextChar"/>
    <w:link w:val="Endnote-H5"/>
    <w:rsid w:val="00A14424"/>
    <w:rPr>
      <w:rFonts w:ascii="Lato" w:hAnsi="Lato"/>
      <w:b/>
      <w:bCs/>
      <w:caps/>
      <w:sz w:val="16"/>
      <w:szCs w:val="20"/>
      <w:lang w:val="en-US"/>
    </w:rPr>
  </w:style>
  <w:style w:type="paragraph" w:customStyle="1" w:styleId="Endnote-Bullet-L1">
    <w:name w:val="Endnote - Bullet - L1"/>
    <w:basedOn w:val="EndnoteText"/>
    <w:qFormat/>
    <w:rsid w:val="00B120DE"/>
    <w:pPr>
      <w:numPr>
        <w:numId w:val="29"/>
      </w:numPr>
      <w:ind w:left="360" w:hanging="180"/>
    </w:pPr>
  </w:style>
  <w:style w:type="paragraph" w:customStyle="1" w:styleId="Endnote-H4">
    <w:name w:val="Endnote - H4"/>
    <w:basedOn w:val="EndnoteText"/>
    <w:qFormat/>
    <w:rsid w:val="0032022D"/>
    <w:pPr>
      <w:spacing w:before="80"/>
      <w:ind w:left="86" w:hanging="86"/>
    </w:pPr>
    <w:rPr>
      <w:rFonts w:ascii="Lato Black" w:hAnsi="Lato Black"/>
      <w:b/>
      <w:bCs/>
      <w:sz w:val="17"/>
      <w:szCs w:val="17"/>
    </w:rPr>
  </w:style>
  <w:style w:type="paragraph" w:customStyle="1" w:styleId="Endnote-Link">
    <w:name w:val="Endnote - Link"/>
    <w:basedOn w:val="EndnoteText"/>
    <w:qFormat/>
    <w:rsid w:val="00A14424"/>
    <w:pPr>
      <w:spacing w:before="40"/>
      <w:ind w:left="90"/>
    </w:pPr>
    <w:rPr>
      <w:lang w:val="en-CA"/>
    </w:rPr>
  </w:style>
  <w:style w:type="paragraph" w:customStyle="1" w:styleId="Endnote-Bullet-L2">
    <w:name w:val="Endnote - Bullet - L2"/>
    <w:basedOn w:val="EndnoteText"/>
    <w:qFormat/>
    <w:rsid w:val="007D73B0"/>
    <w:pPr>
      <w:numPr>
        <w:numId w:val="20"/>
      </w:numPr>
      <w:ind w:left="540" w:hanging="180"/>
    </w:pPr>
  </w:style>
  <w:style w:type="paragraph" w:customStyle="1" w:styleId="Endnote-Context-bullet-L1">
    <w:name w:val="Endnote - Context - bullet - L1"/>
    <w:basedOn w:val="Endnote-Context"/>
    <w:next w:val="Endnote-H4"/>
    <w:qFormat/>
    <w:rsid w:val="00960280"/>
  </w:style>
  <w:style w:type="character" w:customStyle="1" w:styleId="Endnote-Superscript">
    <w:name w:val="Endnote - Superscript"/>
    <w:basedOn w:val="EndnoteTextChar"/>
    <w:uiPriority w:val="1"/>
    <w:qFormat/>
    <w:rsid w:val="00EA151E"/>
    <w:rPr>
      <w:rFonts w:ascii="Lato" w:hAnsi="Lato"/>
      <w:sz w:val="16"/>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6499">
      <w:bodyDiv w:val="1"/>
      <w:marLeft w:val="0"/>
      <w:marRight w:val="0"/>
      <w:marTop w:val="0"/>
      <w:marBottom w:val="0"/>
      <w:divBdr>
        <w:top w:val="none" w:sz="0" w:space="0" w:color="auto"/>
        <w:left w:val="none" w:sz="0" w:space="0" w:color="auto"/>
        <w:bottom w:val="none" w:sz="0" w:space="0" w:color="auto"/>
        <w:right w:val="none" w:sz="0" w:space="0" w:color="auto"/>
      </w:divBdr>
    </w:div>
    <w:div w:id="908274606">
      <w:bodyDiv w:val="1"/>
      <w:marLeft w:val="0"/>
      <w:marRight w:val="0"/>
      <w:marTop w:val="0"/>
      <w:marBottom w:val="0"/>
      <w:divBdr>
        <w:top w:val="none" w:sz="0" w:space="0" w:color="auto"/>
        <w:left w:val="none" w:sz="0" w:space="0" w:color="auto"/>
        <w:bottom w:val="none" w:sz="0" w:space="0" w:color="auto"/>
        <w:right w:val="none" w:sz="0" w:space="0" w:color="auto"/>
      </w:divBdr>
    </w:div>
    <w:div w:id="199487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3" Type="http://schemas.openxmlformats.org/officeDocument/2006/relationships/hyperlink" Target="https://ddprimarycare.surreyplace.ca/tools-2/general-health/todays-visit/" TargetMode="External"/><Relationship Id="rId18" Type="http://schemas.openxmlformats.org/officeDocument/2006/relationships/hyperlink" Target="https://ddprimarycare.surreyplace.ca/wp-content/uploads/2019/06/3.8-Pain-Assessment.pdf" TargetMode="External"/><Relationship Id="rId26" Type="http://schemas.openxmlformats.org/officeDocument/2006/relationships/hyperlink" Target="https://ddprimarycare.surreyplace.ca/tools-2/mental-health/" TargetMode="External"/><Relationship Id="rId39" Type="http://schemas.openxmlformats.org/officeDocument/2006/relationships/hyperlink" Target="http://ddprimarycare.surreyplace.ca/wp-content/uploads/2018/03/Psychotropic_Med_issues.pdf" TargetMode="External"/><Relationship Id="rId3" Type="http://schemas.openxmlformats.org/officeDocument/2006/relationships/hyperlink" Target="https://ddprimarycare.surreyplace.ca/tools-2/general-health/about-my-health/" TargetMode="External"/><Relationship Id="rId21" Type="http://schemas.openxmlformats.org/officeDocument/2006/relationships/hyperlink" Target="https://ddprimarycare.surreyplace.ca/tools-2/physical-health/epilepsy/" TargetMode="External"/><Relationship Id="rId34" Type="http://schemas.openxmlformats.org/officeDocument/2006/relationships/hyperlink" Target="http://ddprimarycare.surreyplace.ca/wp-content/uploads/2018/03/Risk_Assessment_Tool.pdf" TargetMode="External"/><Relationship Id="rId42" Type="http://schemas.openxmlformats.org/officeDocument/2006/relationships/hyperlink" Target="https://vimeo.com/145154734" TargetMode="External"/><Relationship Id="rId47" Type="http://schemas.openxmlformats.org/officeDocument/2006/relationships/hyperlink" Target="https://ddprimarycare.surreyplace.ca/tools-2/physical-health/monitoring-charts/" TargetMode="External"/><Relationship Id="rId7" Type="http://schemas.openxmlformats.org/officeDocument/2006/relationships/hyperlink" Target="https://ddprimarycare.surreyplace.ca/tools-2/general-health/adaptive-functioning/" TargetMode="External"/><Relationship Id="rId12" Type="http://schemas.openxmlformats.org/officeDocument/2006/relationships/hyperlink" Target="https://ddprimarycare.surreyplace.ca/tools-2/general-health/about-my-health/" TargetMode="External"/><Relationship Id="rId17" Type="http://schemas.openxmlformats.org/officeDocument/2006/relationships/hyperlink" Target="https://ddprimarycare.surreyplace.ca/wp-content/uploads/2019/05/Sleep-monitoring-chart_final.pdf" TargetMode="External"/><Relationship Id="rId25" Type="http://schemas.openxmlformats.org/officeDocument/2006/relationships/hyperlink" Target="https://ddprimarycare.surreyplace.ca/wp-content/uploads/2020/05/HELP-with-Emotional-Behavioural-Concerns-4May2020.pdf" TargetMode="External"/><Relationship Id="rId33" Type="http://schemas.openxmlformats.org/officeDocument/2006/relationships/hyperlink" Target="https://ddprimarycare.surreyplace.ca/wp-content/uploads/2020/05/HELP-with-Emotional-Behavioural-Concerns-4May2020.pdf" TargetMode="External"/><Relationship Id="rId38" Type="http://schemas.openxmlformats.org/officeDocument/2006/relationships/hyperlink" Target="https://www.midss.org/sites/default/files/brief_family_distress_scale.pdf" TargetMode="External"/><Relationship Id="rId46" Type="http://schemas.openxmlformats.org/officeDocument/2006/relationships/hyperlink" Target="https://ddprimarycare.surreyplace.ca/tools-2/health-watch-tables/" TargetMode="External"/><Relationship Id="rId2" Type="http://schemas.openxmlformats.org/officeDocument/2006/relationships/hyperlink" Target="https://ddprimarycare.surreyplace.ca/wp-content/uploads/2023/03/Recognizing-patients-with-IDD_Feb-2023-1.pdf" TargetMode="External"/><Relationship Id="rId16" Type="http://schemas.openxmlformats.org/officeDocument/2006/relationships/hyperlink" Target="https://ddprimarycare.surreyplace.ca/wp-content/uploads/2019/05/3.6-Food-Daily-Monitoring-Chart-2.pdf" TargetMode="External"/><Relationship Id="rId20" Type="http://schemas.openxmlformats.org/officeDocument/2006/relationships/hyperlink" Target="https://ddprimarycare.surreyplace.ca/wp-content/uploads/2019/05/Menstrual-Cycle-monitoring-chart_final.pdf" TargetMode="External"/><Relationship Id="rId29" Type="http://schemas.openxmlformats.org/officeDocument/2006/relationships/hyperlink" Target="https://onlinelibrary.wiley.com/doi/epdf/10.1046/j.1365-2788.2003.00457.x" TargetMode="External"/><Relationship Id="rId41" Type="http://schemas.openxmlformats.org/officeDocument/2006/relationships/hyperlink" Target="https://ddprimarycare.surreyplace.ca/wp-content/uploads/2019/06/3.11-Direct-Observation-System-1.pdf" TargetMode="External"/><Relationship Id="rId1" Type="http://schemas.openxmlformats.org/officeDocument/2006/relationships/hyperlink" Target="https://ddprimarycare.surreyplace.ca/wp-content/uploads/2023/03/EMR-Keywords_-Feb-2023-1.pdf" TargetMode="External"/><Relationship Id="rId6" Type="http://schemas.openxmlformats.org/officeDocument/2006/relationships/hyperlink" Target="https://ddprimarycare.surreyplace.ca/tools-2/general-health/communicating-effectively/" TargetMode="External"/><Relationship Id="rId11" Type="http://schemas.openxmlformats.org/officeDocument/2006/relationships/hyperlink" Target="https://ddprimarycare.surreyplace.ca/tools-2/general-health/genetic-assessment/" TargetMode="External"/><Relationship Id="rId24" Type="http://schemas.openxmlformats.org/officeDocument/2006/relationships/hyperlink" Target="https://ddprimarycare.surreyplace.ca/tools-2/mental-health/abc-chart/" TargetMode="External"/><Relationship Id="rId32" Type="http://schemas.openxmlformats.org/officeDocument/2006/relationships/hyperlink" Target="http://ddprimarycare.surreyplace.ca/wp-content/uploads/2018/03/Initial_Mgmt_Behavioural_Crises_in_FM.pdf" TargetMode="External"/><Relationship Id="rId37" Type="http://schemas.openxmlformats.org/officeDocument/2006/relationships/hyperlink" Target="https://ddprimarycare.surreyplace.ca/tools-2/general-health/transitions/" TargetMode="External"/><Relationship Id="rId40" Type="http://schemas.openxmlformats.org/officeDocument/2006/relationships/hyperlink" Target="http://ddprimarycare.surreyplace.ca/wp-content/uploads/2018/03/Auditing_Psychotropic_Med.pdf" TargetMode="External"/><Relationship Id="rId45" Type="http://schemas.openxmlformats.org/officeDocument/2006/relationships/hyperlink" Target="http://ddprimarycare.surreyplace.ca/wp-content/uploads/2018/03/Auditing_Psychotropic_Med.pdf" TargetMode="External"/><Relationship Id="rId5" Type="http://schemas.openxmlformats.org/officeDocument/2006/relationships/hyperlink" Target="https://ddprimarycare.surreyplace.ca/tools-2/general-health/todays-visit/" TargetMode="External"/><Relationship Id="rId15" Type="http://schemas.openxmlformats.org/officeDocument/2006/relationships/hyperlink" Target="https://ddprimarycare.surreyplace.ca/wp-content/uploads/2019/05/3.6-Food-Weekly-Monitoring-Chart-updated.pdf" TargetMode="External"/><Relationship Id="rId23" Type="http://schemas.openxmlformats.org/officeDocument/2006/relationships/hyperlink" Target="https://ddprimarycare.surreyplace.ca/wp-content/uploads/2019/06/3.11-Direct-Observation-System-1.pdf" TargetMode="External"/><Relationship Id="rId28" Type="http://schemas.openxmlformats.org/officeDocument/2006/relationships/hyperlink" Target="https://www.cambridge.org/core/services/aop-cambridge-core/content/view/4DF91A3D990E6AAFF40656DEADE3F7BC/S0007125000228341a.pdf/div-class-title-development-and-psychometric-properties-of-the-glasgow-depression-scale-for-people-with-a-learning-disability-div.pdf" TargetMode="External"/><Relationship Id="rId36" Type="http://schemas.openxmlformats.org/officeDocument/2006/relationships/hyperlink" Target="https://www.the-ntg.org/ntg-edsd" TargetMode="External"/><Relationship Id="rId49" Type="http://schemas.openxmlformats.org/officeDocument/2006/relationships/hyperlink" Target="https://ddprimarycare.surreyplace.ca/tools-2/general-health/todays-visit/" TargetMode="External"/><Relationship Id="rId10" Type="http://schemas.openxmlformats.org/officeDocument/2006/relationships/hyperlink" Target="https://ddprimarycare.surreyplace.ca/tools-2/health-watch-tables/" TargetMode="External"/><Relationship Id="rId19" Type="http://schemas.openxmlformats.org/officeDocument/2006/relationships/hyperlink" Target="https://ddprimarycare.surreyplace.ca/wp-content/uploads/2019/05/Bowel-Movement-monitoring-chart_final.pdf" TargetMode="External"/><Relationship Id="rId31" Type="http://schemas.openxmlformats.org/officeDocument/2006/relationships/hyperlink" Target="https://ddprimarycare.surreyplace.ca/tools-2/mental-health/abc-chart/" TargetMode="External"/><Relationship Id="rId44" Type="http://schemas.openxmlformats.org/officeDocument/2006/relationships/hyperlink" Target="https://www.easyhealth.org.uk" TargetMode="External"/><Relationship Id="rId4" Type="http://schemas.openxmlformats.org/officeDocument/2006/relationships/hyperlink" Target="http://ddprimarycare.surreyplace.ca/wp-content/uploads/2019/08/5.2-My-Healthcare-Visit.pdf" TargetMode="External"/><Relationship Id="rId9" Type="http://schemas.openxmlformats.org/officeDocument/2006/relationships/hyperlink" Target="https://ddprimarycare.surreyplace.ca/tools-2/general-health/capacity-for-decision-making/" TargetMode="External"/><Relationship Id="rId14" Type="http://schemas.openxmlformats.org/officeDocument/2006/relationships/hyperlink" Target="https://ddprimarycare.surreyplace.ca/wp-content/uploads/2019/05/Weight-monitoring-chart_final.pdf" TargetMode="External"/><Relationship Id="rId22" Type="http://schemas.openxmlformats.org/officeDocument/2006/relationships/hyperlink" Target="https://www.easyhealth.org.uk/" TargetMode="External"/><Relationship Id="rId27" Type="http://schemas.openxmlformats.org/officeDocument/2006/relationships/hyperlink" Target="https://www.cambridge.org/core/services/aop-cambridge-core/content/view/4DF91A3D990E6AAFF40656DEADE3F7BC/S0007125000228341a.pdf/development_and_psychometric_properties_of_the_glasgow_depression_scale_for_people_with_a_learning_disability.pdf" TargetMode="External"/><Relationship Id="rId30" Type="http://schemas.openxmlformats.org/officeDocument/2006/relationships/hyperlink" Target="https://ddprimarycare.surreyplace.ca/wp-content/uploads/2019/06/3.11-Direct-Observation-System-1.pdf" TargetMode="External"/><Relationship Id="rId35" Type="http://schemas.openxmlformats.org/officeDocument/2006/relationships/hyperlink" Target="https://ddprimarycare.surreyplace.ca/tools-2/mental-health/" TargetMode="External"/><Relationship Id="rId43" Type="http://schemas.openxmlformats.org/officeDocument/2006/relationships/hyperlink" Target="https://hypertension.ca/bpdevices" TargetMode="External"/><Relationship Id="rId48" Type="http://schemas.openxmlformats.org/officeDocument/2006/relationships/hyperlink" Target="https://ddprimarycare.surreyplace.ca/tools-2/physical-health/epilepsy/" TargetMode="External"/><Relationship Id="rId8" Type="http://schemas.openxmlformats.org/officeDocument/2006/relationships/hyperlink" Target="https://ddprimarycare.surreyplace.ca/tools-2/general-health/psychological-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BC8FB29BB2462386AC5A4F078560EA"/>
        <w:category>
          <w:name w:val="General"/>
          <w:gallery w:val="placeholder"/>
        </w:category>
        <w:types>
          <w:type w:val="bbPlcHdr"/>
        </w:types>
        <w:behaviors>
          <w:behavior w:val="content"/>
        </w:behaviors>
        <w:guid w:val="{986A0246-DB64-4ECB-A53B-CA839EA6C226}"/>
      </w:docPartPr>
      <w:docPartBody>
        <w:p w:rsidR="008D443C" w:rsidRDefault="00A543E7" w:rsidP="00A543E7">
          <w:pPr>
            <w:pStyle w:val="A4BC8FB29BB2462386AC5A4F078560EA"/>
          </w:pPr>
          <w:r w:rsidRPr="00DF21EE">
            <w:rPr>
              <w:rStyle w:val="PlaceholderText"/>
            </w:rPr>
            <w:t>Click or tap to enter a date.</w:t>
          </w:r>
        </w:p>
      </w:docPartBody>
    </w:docPart>
    <w:docPart>
      <w:docPartPr>
        <w:name w:val="F688112590104C2FB1828E97FAF8C45D"/>
        <w:category>
          <w:name w:val="General"/>
          <w:gallery w:val="placeholder"/>
        </w:category>
        <w:types>
          <w:type w:val="bbPlcHdr"/>
        </w:types>
        <w:behaviors>
          <w:behavior w:val="content"/>
        </w:behaviors>
        <w:guid w:val="{8545B7A7-066B-480B-90D1-A763E438CDFD}"/>
      </w:docPartPr>
      <w:docPartBody>
        <w:p w:rsidR="008D443C" w:rsidRDefault="00A543E7" w:rsidP="00A543E7">
          <w:pPr>
            <w:pStyle w:val="F688112590104C2FB1828E97FAF8C45D"/>
          </w:pPr>
          <w:r w:rsidRPr="00DF21E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0A"/>
    <w:rsid w:val="00101760"/>
    <w:rsid w:val="001D5AA0"/>
    <w:rsid w:val="005A5F19"/>
    <w:rsid w:val="005E26C7"/>
    <w:rsid w:val="0064324A"/>
    <w:rsid w:val="006B30B6"/>
    <w:rsid w:val="00727F46"/>
    <w:rsid w:val="007F2BB4"/>
    <w:rsid w:val="008A4150"/>
    <w:rsid w:val="008B62ED"/>
    <w:rsid w:val="008D443C"/>
    <w:rsid w:val="00922C6A"/>
    <w:rsid w:val="009A4797"/>
    <w:rsid w:val="00A33770"/>
    <w:rsid w:val="00A543E7"/>
    <w:rsid w:val="00AD740A"/>
    <w:rsid w:val="00B73AB5"/>
    <w:rsid w:val="00C11181"/>
    <w:rsid w:val="00C3677A"/>
    <w:rsid w:val="00C5704D"/>
    <w:rsid w:val="00D51FE9"/>
    <w:rsid w:val="00D65E99"/>
    <w:rsid w:val="00DE0582"/>
    <w:rsid w:val="00E65B44"/>
    <w:rsid w:val="00EA3D7D"/>
    <w:rsid w:val="00FE74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0CDCEB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150"/>
    <w:rPr>
      <w:color w:val="808080"/>
    </w:rPr>
  </w:style>
  <w:style w:type="paragraph" w:customStyle="1" w:styleId="A4BC8FB29BB2462386AC5A4F078560EA">
    <w:name w:val="A4BC8FB29BB2462386AC5A4F078560EA"/>
    <w:rsid w:val="00A543E7"/>
  </w:style>
  <w:style w:type="paragraph" w:customStyle="1" w:styleId="F688112590104C2FB1828E97FAF8C45D">
    <w:name w:val="F688112590104C2FB1828E97FAF8C45D"/>
    <w:rsid w:val="00A54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BE4A77E79A84B8B0EB5CDFDBB377A" ma:contentTypeVersion="16" ma:contentTypeDescription="Create a new document." ma:contentTypeScope="" ma:versionID="31478d0705724b666a9c85fc8ae1cadc">
  <xsd:schema xmlns:xsd="http://www.w3.org/2001/XMLSchema" xmlns:xs="http://www.w3.org/2001/XMLSchema" xmlns:p="http://schemas.microsoft.com/office/2006/metadata/properties" xmlns:ns2="775e34e0-fc2b-42da-8d83-3bdd3eddd3e3" xmlns:ns3="68d79846-4a16-4c5c-b25d-67147331d0c9" targetNamespace="http://schemas.microsoft.com/office/2006/metadata/properties" ma:root="true" ma:fieldsID="ba700721be4dea4c1f3ffa88399a4987" ns2:_="" ns3:_="">
    <xsd:import namespace="775e34e0-fc2b-42da-8d83-3bdd3eddd3e3"/>
    <xsd:import namespace="68d79846-4a16-4c5c-b25d-67147331d0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e34e0-fc2b-42da-8d83-3bdd3eddd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f76747-b53d-44da-b125-f8708cccd3f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d79846-4a16-4c5c-b25d-67147331d0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26d5ee-cc77-40d1-bf91-569705d64548}" ma:internalName="TaxCatchAll" ma:showField="CatchAllData" ma:web="68d79846-4a16-4c5c-b25d-67147331d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8d79846-4a16-4c5c-b25d-67147331d0c9" xsi:nil="true"/>
    <lcf76f155ced4ddcb4097134ff3c332f xmlns="775e34e0-fc2b-42da-8d83-3bdd3eddd3e3">
      <Terms xmlns="http://schemas.microsoft.com/office/infopath/2007/PartnerControls"/>
    </lcf76f155ced4ddcb4097134ff3c332f>
    <SharedWithUsers xmlns="68d79846-4a16-4c5c-b25d-67147331d0c9">
      <UserInfo>
        <DisplayName>Heidi Diepstra</DisplayName>
        <AccountId>13</AccountId>
        <AccountType/>
      </UserInfo>
    </SharedWithUsers>
  </documentManagement>
</p:properties>
</file>

<file path=customXml/itemProps1.xml><?xml version="1.0" encoding="utf-8"?>
<ds:datastoreItem xmlns:ds="http://schemas.openxmlformats.org/officeDocument/2006/customXml" ds:itemID="{2ED141B1-9A54-46C8-A6A0-1D94AB47C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e34e0-fc2b-42da-8d83-3bdd3eddd3e3"/>
    <ds:schemaRef ds:uri="68d79846-4a16-4c5c-b25d-67147331d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9D560E-130B-4927-A272-D986A707F787}">
  <ds:schemaRefs>
    <ds:schemaRef ds:uri="http://schemas.microsoft.com/sharepoint/v3/contenttype/forms"/>
  </ds:schemaRefs>
</ds:datastoreItem>
</file>

<file path=customXml/itemProps3.xml><?xml version="1.0" encoding="utf-8"?>
<ds:datastoreItem xmlns:ds="http://schemas.openxmlformats.org/officeDocument/2006/customXml" ds:itemID="{DCAA0A27-C741-4FBC-B3A5-6790704C7698}">
  <ds:schemaRefs>
    <ds:schemaRef ds:uri="http://schemas.openxmlformats.org/officeDocument/2006/bibliography"/>
  </ds:schemaRefs>
</ds:datastoreItem>
</file>

<file path=customXml/itemProps4.xml><?xml version="1.0" encoding="utf-8"?>
<ds:datastoreItem xmlns:ds="http://schemas.openxmlformats.org/officeDocument/2006/customXml" ds:itemID="{E0C2379D-1ED4-4365-9865-DEB076D0E479}">
  <ds:schemaRefs>
    <ds:schemaRef ds:uri="http://schemas.microsoft.com/office/2006/metadata/properties"/>
    <ds:schemaRef ds:uri="http://schemas.microsoft.com/office/infopath/2007/PartnerControls"/>
    <ds:schemaRef ds:uri="68d79846-4a16-4c5c-b25d-67147331d0c9"/>
    <ds:schemaRef ds:uri="775e34e0-fc2b-42da-8d83-3bdd3eddd3e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Links>
    <vt:vector size="306" baseType="variant">
      <vt:variant>
        <vt:i4>655381</vt:i4>
      </vt:variant>
      <vt:variant>
        <vt:i4>150</vt:i4>
      </vt:variant>
      <vt:variant>
        <vt:i4>0</vt:i4>
      </vt:variant>
      <vt:variant>
        <vt:i4>5</vt:i4>
      </vt:variant>
      <vt:variant>
        <vt:lpwstr>https://ddprimarycare.surreyplace.ca/tools-2/general-health/todays-visit/</vt:lpwstr>
      </vt:variant>
      <vt:variant>
        <vt:lpwstr/>
      </vt:variant>
      <vt:variant>
        <vt:i4>3866671</vt:i4>
      </vt:variant>
      <vt:variant>
        <vt:i4>147</vt:i4>
      </vt:variant>
      <vt:variant>
        <vt:i4>0</vt:i4>
      </vt:variant>
      <vt:variant>
        <vt:i4>5</vt:i4>
      </vt:variant>
      <vt:variant>
        <vt:lpwstr>https://ddprimarycare.surreyplace.ca/tools-2/physical-health/epilepsy/</vt:lpwstr>
      </vt:variant>
      <vt:variant>
        <vt:lpwstr/>
      </vt:variant>
      <vt:variant>
        <vt:i4>2162731</vt:i4>
      </vt:variant>
      <vt:variant>
        <vt:i4>144</vt:i4>
      </vt:variant>
      <vt:variant>
        <vt:i4>0</vt:i4>
      </vt:variant>
      <vt:variant>
        <vt:i4>5</vt:i4>
      </vt:variant>
      <vt:variant>
        <vt:lpwstr>https://ddprimarycare.surreyplace.ca/tools-2/physical-health/monitoring-charts/</vt:lpwstr>
      </vt:variant>
      <vt:variant>
        <vt:lpwstr/>
      </vt:variant>
      <vt:variant>
        <vt:i4>4325381</vt:i4>
      </vt:variant>
      <vt:variant>
        <vt:i4>141</vt:i4>
      </vt:variant>
      <vt:variant>
        <vt:i4>0</vt:i4>
      </vt:variant>
      <vt:variant>
        <vt:i4>5</vt:i4>
      </vt:variant>
      <vt:variant>
        <vt:lpwstr>https://ddprimarycare.surreyplace.ca/tools-2/health-watch-tables/</vt:lpwstr>
      </vt:variant>
      <vt:variant>
        <vt:lpwstr/>
      </vt:variant>
      <vt:variant>
        <vt:i4>3080243</vt:i4>
      </vt:variant>
      <vt:variant>
        <vt:i4>138</vt:i4>
      </vt:variant>
      <vt:variant>
        <vt:i4>0</vt:i4>
      </vt:variant>
      <vt:variant>
        <vt:i4>5</vt:i4>
      </vt:variant>
      <vt:variant>
        <vt:lpwstr>http://ddprimarycare.surreyplace.ca/wp-content/uploads/2018/03/Auditing_Psychotropic_Med.pdf</vt:lpwstr>
      </vt:variant>
      <vt:variant>
        <vt:lpwstr/>
      </vt:variant>
      <vt:variant>
        <vt:i4>6488114</vt:i4>
      </vt:variant>
      <vt:variant>
        <vt:i4>135</vt:i4>
      </vt:variant>
      <vt:variant>
        <vt:i4>0</vt:i4>
      </vt:variant>
      <vt:variant>
        <vt:i4>5</vt:i4>
      </vt:variant>
      <vt:variant>
        <vt:lpwstr>https://www.easyhealth.org.uk/</vt:lpwstr>
      </vt:variant>
      <vt:variant>
        <vt:lpwstr/>
      </vt:variant>
      <vt:variant>
        <vt:i4>4521999</vt:i4>
      </vt:variant>
      <vt:variant>
        <vt:i4>132</vt:i4>
      </vt:variant>
      <vt:variant>
        <vt:i4>0</vt:i4>
      </vt:variant>
      <vt:variant>
        <vt:i4>5</vt:i4>
      </vt:variant>
      <vt:variant>
        <vt:lpwstr>https://hypertension.ca/bpdevices</vt:lpwstr>
      </vt:variant>
      <vt:variant>
        <vt:lpwstr/>
      </vt:variant>
      <vt:variant>
        <vt:i4>7405628</vt:i4>
      </vt:variant>
      <vt:variant>
        <vt:i4>129</vt:i4>
      </vt:variant>
      <vt:variant>
        <vt:i4>0</vt:i4>
      </vt:variant>
      <vt:variant>
        <vt:i4>5</vt:i4>
      </vt:variant>
      <vt:variant>
        <vt:lpwstr>https://vimeo.com/145154734</vt:lpwstr>
      </vt:variant>
      <vt:variant>
        <vt:lpwstr/>
      </vt:variant>
      <vt:variant>
        <vt:i4>6488114</vt:i4>
      </vt:variant>
      <vt:variant>
        <vt:i4>126</vt:i4>
      </vt:variant>
      <vt:variant>
        <vt:i4>0</vt:i4>
      </vt:variant>
      <vt:variant>
        <vt:i4>5</vt:i4>
      </vt:variant>
      <vt:variant>
        <vt:lpwstr>https://www.easyhealth.org.uk/</vt:lpwstr>
      </vt:variant>
      <vt:variant>
        <vt:lpwstr/>
      </vt:variant>
      <vt:variant>
        <vt:i4>1835101</vt:i4>
      </vt:variant>
      <vt:variant>
        <vt:i4>123</vt:i4>
      </vt:variant>
      <vt:variant>
        <vt:i4>0</vt:i4>
      </vt:variant>
      <vt:variant>
        <vt:i4>5</vt:i4>
      </vt:variant>
      <vt:variant>
        <vt:lpwstr>https://ddprimarycare.surreyplace.ca/wp-content/uploads/2019/06/3.11-Direct-Observation-System-1.pdf</vt:lpwstr>
      </vt:variant>
      <vt:variant>
        <vt:lpwstr/>
      </vt:variant>
      <vt:variant>
        <vt:i4>3080243</vt:i4>
      </vt:variant>
      <vt:variant>
        <vt:i4>120</vt:i4>
      </vt:variant>
      <vt:variant>
        <vt:i4>0</vt:i4>
      </vt:variant>
      <vt:variant>
        <vt:i4>5</vt:i4>
      </vt:variant>
      <vt:variant>
        <vt:lpwstr>http://ddprimarycare.surreyplace.ca/wp-content/uploads/2018/03/Auditing_Psychotropic_Med.pdf</vt:lpwstr>
      </vt:variant>
      <vt:variant>
        <vt:lpwstr/>
      </vt:variant>
      <vt:variant>
        <vt:i4>8061024</vt:i4>
      </vt:variant>
      <vt:variant>
        <vt:i4>117</vt:i4>
      </vt:variant>
      <vt:variant>
        <vt:i4>0</vt:i4>
      </vt:variant>
      <vt:variant>
        <vt:i4>5</vt:i4>
      </vt:variant>
      <vt:variant>
        <vt:lpwstr>http://ddprimarycare.surreyplace.ca/wp-content/uploads/2018/03/Psychotropic_Med_issues.pdf</vt:lpwstr>
      </vt:variant>
      <vt:variant>
        <vt:lpwstr/>
      </vt:variant>
      <vt:variant>
        <vt:i4>5439589</vt:i4>
      </vt:variant>
      <vt:variant>
        <vt:i4>114</vt:i4>
      </vt:variant>
      <vt:variant>
        <vt:i4>0</vt:i4>
      </vt:variant>
      <vt:variant>
        <vt:i4>5</vt:i4>
      </vt:variant>
      <vt:variant>
        <vt:lpwstr>https://www.midss.org/sites/default/files/brief_family_distress_scale.pdf</vt:lpwstr>
      </vt:variant>
      <vt:variant>
        <vt:lpwstr/>
      </vt:variant>
      <vt:variant>
        <vt:i4>5963871</vt:i4>
      </vt:variant>
      <vt:variant>
        <vt:i4>111</vt:i4>
      </vt:variant>
      <vt:variant>
        <vt:i4>0</vt:i4>
      </vt:variant>
      <vt:variant>
        <vt:i4>5</vt:i4>
      </vt:variant>
      <vt:variant>
        <vt:lpwstr>https://ddprimarycare.surreyplace.ca/tools-2/general-health/transitions/</vt:lpwstr>
      </vt:variant>
      <vt:variant>
        <vt:lpwstr/>
      </vt:variant>
      <vt:variant>
        <vt:i4>5439567</vt:i4>
      </vt:variant>
      <vt:variant>
        <vt:i4>108</vt:i4>
      </vt:variant>
      <vt:variant>
        <vt:i4>0</vt:i4>
      </vt:variant>
      <vt:variant>
        <vt:i4>5</vt:i4>
      </vt:variant>
      <vt:variant>
        <vt:lpwstr>https://www.the-ntg.org/ntg-edsd</vt:lpwstr>
      </vt:variant>
      <vt:variant>
        <vt:lpwstr/>
      </vt:variant>
      <vt:variant>
        <vt:i4>7143548</vt:i4>
      </vt:variant>
      <vt:variant>
        <vt:i4>105</vt:i4>
      </vt:variant>
      <vt:variant>
        <vt:i4>0</vt:i4>
      </vt:variant>
      <vt:variant>
        <vt:i4>5</vt:i4>
      </vt:variant>
      <vt:variant>
        <vt:lpwstr>https://ddprimarycare.surreyplace.ca/tools-2/mental-health/</vt:lpwstr>
      </vt:variant>
      <vt:variant>
        <vt:lpwstr/>
      </vt:variant>
      <vt:variant>
        <vt:i4>1376270</vt:i4>
      </vt:variant>
      <vt:variant>
        <vt:i4>102</vt:i4>
      </vt:variant>
      <vt:variant>
        <vt:i4>0</vt:i4>
      </vt:variant>
      <vt:variant>
        <vt:i4>5</vt:i4>
      </vt:variant>
      <vt:variant>
        <vt:lpwstr>http://ddprimarycare.surreyplace.ca/wp-content/uploads/2018/03/Risk_Assessment_Tool.pdf</vt:lpwstr>
      </vt:variant>
      <vt:variant>
        <vt:lpwstr/>
      </vt:variant>
      <vt:variant>
        <vt:i4>1376267</vt:i4>
      </vt:variant>
      <vt:variant>
        <vt:i4>99</vt:i4>
      </vt:variant>
      <vt:variant>
        <vt:i4>0</vt:i4>
      </vt:variant>
      <vt:variant>
        <vt:i4>5</vt:i4>
      </vt:variant>
      <vt:variant>
        <vt:lpwstr>https://ddprimarycare.surreyplace.ca/wp-content/uploads/2020/05/HELP-with-Emotional-Behavioural-Concerns-4May2020.pdf</vt:lpwstr>
      </vt:variant>
      <vt:variant>
        <vt:lpwstr/>
      </vt:variant>
      <vt:variant>
        <vt:i4>2949130</vt:i4>
      </vt:variant>
      <vt:variant>
        <vt:i4>96</vt:i4>
      </vt:variant>
      <vt:variant>
        <vt:i4>0</vt:i4>
      </vt:variant>
      <vt:variant>
        <vt:i4>5</vt:i4>
      </vt:variant>
      <vt:variant>
        <vt:lpwstr>http://ddprimarycare.surreyplace.ca/wp-content/uploads/2018/03/Initial_Mgmt_Behavioural_Crises_in_FM.pdf</vt:lpwstr>
      </vt:variant>
      <vt:variant>
        <vt:lpwstr/>
      </vt:variant>
      <vt:variant>
        <vt:i4>1638406</vt:i4>
      </vt:variant>
      <vt:variant>
        <vt:i4>93</vt:i4>
      </vt:variant>
      <vt:variant>
        <vt:i4>0</vt:i4>
      </vt:variant>
      <vt:variant>
        <vt:i4>5</vt:i4>
      </vt:variant>
      <vt:variant>
        <vt:lpwstr>https://ddprimarycare.surreyplace.ca/tools-2/mental-health/abc-chart/</vt:lpwstr>
      </vt:variant>
      <vt:variant>
        <vt:lpwstr/>
      </vt:variant>
      <vt:variant>
        <vt:i4>1835101</vt:i4>
      </vt:variant>
      <vt:variant>
        <vt:i4>90</vt:i4>
      </vt:variant>
      <vt:variant>
        <vt:i4>0</vt:i4>
      </vt:variant>
      <vt:variant>
        <vt:i4>5</vt:i4>
      </vt:variant>
      <vt:variant>
        <vt:lpwstr>https://ddprimarycare.surreyplace.ca/wp-content/uploads/2019/06/3.11-Direct-Observation-System-1.pdf</vt:lpwstr>
      </vt:variant>
      <vt:variant>
        <vt:lpwstr/>
      </vt:variant>
      <vt:variant>
        <vt:i4>3080243</vt:i4>
      </vt:variant>
      <vt:variant>
        <vt:i4>87</vt:i4>
      </vt:variant>
      <vt:variant>
        <vt:i4>0</vt:i4>
      </vt:variant>
      <vt:variant>
        <vt:i4>5</vt:i4>
      </vt:variant>
      <vt:variant>
        <vt:lpwstr>http://ddprimarycare.surreyplace.ca/wp-content/uploads/2018/03/Auditing_Psychotropic_Med.pdf</vt:lpwstr>
      </vt:variant>
      <vt:variant>
        <vt:lpwstr/>
      </vt:variant>
      <vt:variant>
        <vt:i4>8061024</vt:i4>
      </vt:variant>
      <vt:variant>
        <vt:i4>84</vt:i4>
      </vt:variant>
      <vt:variant>
        <vt:i4>0</vt:i4>
      </vt:variant>
      <vt:variant>
        <vt:i4>5</vt:i4>
      </vt:variant>
      <vt:variant>
        <vt:lpwstr>http://ddprimarycare.surreyplace.ca/wp-content/uploads/2018/03/Psychotropic_Med_issues.pdf</vt:lpwstr>
      </vt:variant>
      <vt:variant>
        <vt:lpwstr/>
      </vt:variant>
      <vt:variant>
        <vt:i4>5308498</vt:i4>
      </vt:variant>
      <vt:variant>
        <vt:i4>81</vt:i4>
      </vt:variant>
      <vt:variant>
        <vt:i4>0</vt:i4>
      </vt:variant>
      <vt:variant>
        <vt:i4>5</vt:i4>
      </vt:variant>
      <vt:variant>
        <vt:lpwstr>https://onlinelibrary.wiley.com/doi/epdf/10.1046/j.1365-2788.2003.00457.x</vt:lpwstr>
      </vt:variant>
      <vt:variant>
        <vt:lpwstr/>
      </vt:variant>
      <vt:variant>
        <vt:i4>7209018</vt:i4>
      </vt:variant>
      <vt:variant>
        <vt:i4>78</vt:i4>
      </vt:variant>
      <vt:variant>
        <vt:i4>0</vt:i4>
      </vt:variant>
      <vt:variant>
        <vt:i4>5</vt:i4>
      </vt:variant>
      <vt:variant>
        <vt:lpwstr>https://www.cambridge.org/core/services/aop-cambridge-core/content/view/4DF91A3D990E6AAFF40656DEADE3F7BC/S0007125000228341a.pdf/div-class-title-development-and-psychometric-properties-of-the-glasgow-depression-scale-for-people-with-a-learning-disability-div.pdf</vt:lpwstr>
      </vt:variant>
      <vt:variant>
        <vt:lpwstr/>
      </vt:variant>
      <vt:variant>
        <vt:i4>5701708</vt:i4>
      </vt:variant>
      <vt:variant>
        <vt:i4>75</vt:i4>
      </vt:variant>
      <vt:variant>
        <vt:i4>0</vt:i4>
      </vt:variant>
      <vt:variant>
        <vt:i4>5</vt:i4>
      </vt:variant>
      <vt:variant>
        <vt:lpwstr>https://www.cambridge.org/core/services/aop-cambridge-core/content/view/4DF91A3D990E6AAFF40656DEADE3F7BC/S0007125000228341a.pdf/development_and_psychometric_properties_of_the_glasgow_depression_scale_for_people_with_a_learning_disability.pdf</vt:lpwstr>
      </vt:variant>
      <vt:variant>
        <vt:lpwstr/>
      </vt:variant>
      <vt:variant>
        <vt:i4>7143548</vt:i4>
      </vt:variant>
      <vt:variant>
        <vt:i4>72</vt:i4>
      </vt:variant>
      <vt:variant>
        <vt:i4>0</vt:i4>
      </vt:variant>
      <vt:variant>
        <vt:i4>5</vt:i4>
      </vt:variant>
      <vt:variant>
        <vt:lpwstr>https://ddprimarycare.surreyplace.ca/tools-2/mental-health/</vt:lpwstr>
      </vt:variant>
      <vt:variant>
        <vt:lpwstr/>
      </vt:variant>
      <vt:variant>
        <vt:i4>1376267</vt:i4>
      </vt:variant>
      <vt:variant>
        <vt:i4>69</vt:i4>
      </vt:variant>
      <vt:variant>
        <vt:i4>0</vt:i4>
      </vt:variant>
      <vt:variant>
        <vt:i4>5</vt:i4>
      </vt:variant>
      <vt:variant>
        <vt:lpwstr>https://ddprimarycare.surreyplace.ca/wp-content/uploads/2020/05/HELP-with-Emotional-Behavioural-Concerns-4May2020.pdf</vt:lpwstr>
      </vt:variant>
      <vt:variant>
        <vt:lpwstr/>
      </vt:variant>
      <vt:variant>
        <vt:i4>1638406</vt:i4>
      </vt:variant>
      <vt:variant>
        <vt:i4>66</vt:i4>
      </vt:variant>
      <vt:variant>
        <vt:i4>0</vt:i4>
      </vt:variant>
      <vt:variant>
        <vt:i4>5</vt:i4>
      </vt:variant>
      <vt:variant>
        <vt:lpwstr>https://ddprimarycare.surreyplace.ca/tools-2/mental-health/abc-chart/</vt:lpwstr>
      </vt:variant>
      <vt:variant>
        <vt:lpwstr/>
      </vt:variant>
      <vt:variant>
        <vt:i4>1835101</vt:i4>
      </vt:variant>
      <vt:variant>
        <vt:i4>63</vt:i4>
      </vt:variant>
      <vt:variant>
        <vt:i4>0</vt:i4>
      </vt:variant>
      <vt:variant>
        <vt:i4>5</vt:i4>
      </vt:variant>
      <vt:variant>
        <vt:lpwstr>https://ddprimarycare.surreyplace.ca/wp-content/uploads/2019/06/3.11-Direct-Observation-System-1.pdf</vt:lpwstr>
      </vt:variant>
      <vt:variant>
        <vt:lpwstr/>
      </vt:variant>
      <vt:variant>
        <vt:i4>6488114</vt:i4>
      </vt:variant>
      <vt:variant>
        <vt:i4>60</vt:i4>
      </vt:variant>
      <vt:variant>
        <vt:i4>0</vt:i4>
      </vt:variant>
      <vt:variant>
        <vt:i4>5</vt:i4>
      </vt:variant>
      <vt:variant>
        <vt:lpwstr>https://www.easyhealth.org.uk/</vt:lpwstr>
      </vt:variant>
      <vt:variant>
        <vt:lpwstr/>
      </vt:variant>
      <vt:variant>
        <vt:i4>3866671</vt:i4>
      </vt:variant>
      <vt:variant>
        <vt:i4>57</vt:i4>
      </vt:variant>
      <vt:variant>
        <vt:i4>0</vt:i4>
      </vt:variant>
      <vt:variant>
        <vt:i4>5</vt:i4>
      </vt:variant>
      <vt:variant>
        <vt:lpwstr>https://ddprimarycare.surreyplace.ca/tools-2/physical-health/epilepsy/</vt:lpwstr>
      </vt:variant>
      <vt:variant>
        <vt:lpwstr/>
      </vt:variant>
      <vt:variant>
        <vt:i4>2621513</vt:i4>
      </vt:variant>
      <vt:variant>
        <vt:i4>54</vt:i4>
      </vt:variant>
      <vt:variant>
        <vt:i4>0</vt:i4>
      </vt:variant>
      <vt:variant>
        <vt:i4>5</vt:i4>
      </vt:variant>
      <vt:variant>
        <vt:lpwstr>https://ddprimarycare.surreyplace.ca/wp-content/uploads/2019/05/Menstrual-Cycle-monitoring-chart_final.pdf</vt:lpwstr>
      </vt:variant>
      <vt:variant>
        <vt:lpwstr/>
      </vt:variant>
      <vt:variant>
        <vt:i4>2490442</vt:i4>
      </vt:variant>
      <vt:variant>
        <vt:i4>51</vt:i4>
      </vt:variant>
      <vt:variant>
        <vt:i4>0</vt:i4>
      </vt:variant>
      <vt:variant>
        <vt:i4>5</vt:i4>
      </vt:variant>
      <vt:variant>
        <vt:lpwstr>https://ddprimarycare.surreyplace.ca/wp-content/uploads/2019/05/Bowel-Movement-monitoring-chart_final.pdf</vt:lpwstr>
      </vt:variant>
      <vt:variant>
        <vt:lpwstr/>
      </vt:variant>
      <vt:variant>
        <vt:i4>8323131</vt:i4>
      </vt:variant>
      <vt:variant>
        <vt:i4>48</vt:i4>
      </vt:variant>
      <vt:variant>
        <vt:i4>0</vt:i4>
      </vt:variant>
      <vt:variant>
        <vt:i4>5</vt:i4>
      </vt:variant>
      <vt:variant>
        <vt:lpwstr>https://ddprimarycare.surreyplace.ca/wp-content/uploads/2019/06/3.8-Pain-Assessment.pdf</vt:lpwstr>
      </vt:variant>
      <vt:variant>
        <vt:lpwstr/>
      </vt:variant>
      <vt:variant>
        <vt:i4>1835044</vt:i4>
      </vt:variant>
      <vt:variant>
        <vt:i4>45</vt:i4>
      </vt:variant>
      <vt:variant>
        <vt:i4>0</vt:i4>
      </vt:variant>
      <vt:variant>
        <vt:i4>5</vt:i4>
      </vt:variant>
      <vt:variant>
        <vt:lpwstr>https://ddprimarycare.surreyplace.ca/wp-content/uploads/2019/05/Sleep-monitoring-chart_final.pdf</vt:lpwstr>
      </vt:variant>
      <vt:variant>
        <vt:lpwstr/>
      </vt:variant>
      <vt:variant>
        <vt:i4>1835089</vt:i4>
      </vt:variant>
      <vt:variant>
        <vt:i4>42</vt:i4>
      </vt:variant>
      <vt:variant>
        <vt:i4>0</vt:i4>
      </vt:variant>
      <vt:variant>
        <vt:i4>5</vt:i4>
      </vt:variant>
      <vt:variant>
        <vt:lpwstr>https://ddprimarycare.surreyplace.ca/wp-content/uploads/2019/05/3.6-Food-Daily-Monitoring-Chart-2.pdf</vt:lpwstr>
      </vt:variant>
      <vt:variant>
        <vt:lpwstr/>
      </vt:variant>
      <vt:variant>
        <vt:i4>393242</vt:i4>
      </vt:variant>
      <vt:variant>
        <vt:i4>39</vt:i4>
      </vt:variant>
      <vt:variant>
        <vt:i4>0</vt:i4>
      </vt:variant>
      <vt:variant>
        <vt:i4>5</vt:i4>
      </vt:variant>
      <vt:variant>
        <vt:lpwstr>https://ddprimarycare.surreyplace.ca/wp-content/uploads/2019/05/3.6-Food-Weekly-Monitoring-Chart-updated.pdf</vt:lpwstr>
      </vt:variant>
      <vt:variant>
        <vt:lpwstr/>
      </vt:variant>
      <vt:variant>
        <vt:i4>7077981</vt:i4>
      </vt:variant>
      <vt:variant>
        <vt:i4>36</vt:i4>
      </vt:variant>
      <vt:variant>
        <vt:i4>0</vt:i4>
      </vt:variant>
      <vt:variant>
        <vt:i4>5</vt:i4>
      </vt:variant>
      <vt:variant>
        <vt:lpwstr>https://ddprimarycare.surreyplace.ca/wp-content/uploads/2019/05/Weight-monitoring-chart_final.pdf</vt:lpwstr>
      </vt:variant>
      <vt:variant>
        <vt:lpwstr/>
      </vt:variant>
      <vt:variant>
        <vt:i4>655381</vt:i4>
      </vt:variant>
      <vt:variant>
        <vt:i4>33</vt:i4>
      </vt:variant>
      <vt:variant>
        <vt:i4>0</vt:i4>
      </vt:variant>
      <vt:variant>
        <vt:i4>5</vt:i4>
      </vt:variant>
      <vt:variant>
        <vt:lpwstr>https://ddprimarycare.surreyplace.ca/tools-2/general-health/todays-visit/</vt:lpwstr>
      </vt:variant>
      <vt:variant>
        <vt:lpwstr/>
      </vt:variant>
      <vt:variant>
        <vt:i4>1507338</vt:i4>
      </vt:variant>
      <vt:variant>
        <vt:i4>30</vt:i4>
      </vt:variant>
      <vt:variant>
        <vt:i4>0</vt:i4>
      </vt:variant>
      <vt:variant>
        <vt:i4>5</vt:i4>
      </vt:variant>
      <vt:variant>
        <vt:lpwstr>https://ddprimarycare.surreyplace.ca/tools-2/general-health/about-my-health/</vt:lpwstr>
      </vt:variant>
      <vt:variant>
        <vt:lpwstr/>
      </vt:variant>
      <vt:variant>
        <vt:i4>3538989</vt:i4>
      </vt:variant>
      <vt:variant>
        <vt:i4>27</vt:i4>
      </vt:variant>
      <vt:variant>
        <vt:i4>0</vt:i4>
      </vt:variant>
      <vt:variant>
        <vt:i4>5</vt:i4>
      </vt:variant>
      <vt:variant>
        <vt:lpwstr>https://ddprimarycare.surreyplace.ca/tools-2/general-health/genetic-assessment/</vt:lpwstr>
      </vt:variant>
      <vt:variant>
        <vt:lpwstr/>
      </vt:variant>
      <vt:variant>
        <vt:i4>4325381</vt:i4>
      </vt:variant>
      <vt:variant>
        <vt:i4>24</vt:i4>
      </vt:variant>
      <vt:variant>
        <vt:i4>0</vt:i4>
      </vt:variant>
      <vt:variant>
        <vt:i4>5</vt:i4>
      </vt:variant>
      <vt:variant>
        <vt:lpwstr>https://ddprimarycare.surreyplace.ca/tools-2/health-watch-tables/</vt:lpwstr>
      </vt:variant>
      <vt:variant>
        <vt:lpwstr/>
      </vt:variant>
      <vt:variant>
        <vt:i4>5963865</vt:i4>
      </vt:variant>
      <vt:variant>
        <vt:i4>21</vt:i4>
      </vt:variant>
      <vt:variant>
        <vt:i4>0</vt:i4>
      </vt:variant>
      <vt:variant>
        <vt:i4>5</vt:i4>
      </vt:variant>
      <vt:variant>
        <vt:lpwstr>https://ddprimarycare.surreyplace.ca/tools-2/general-health/capacity-for-decision-making/</vt:lpwstr>
      </vt:variant>
      <vt:variant>
        <vt:lpwstr/>
      </vt:variant>
      <vt:variant>
        <vt:i4>4653142</vt:i4>
      </vt:variant>
      <vt:variant>
        <vt:i4>18</vt:i4>
      </vt:variant>
      <vt:variant>
        <vt:i4>0</vt:i4>
      </vt:variant>
      <vt:variant>
        <vt:i4>5</vt:i4>
      </vt:variant>
      <vt:variant>
        <vt:lpwstr>https://ddprimarycare.surreyplace.ca/tools-2/general-health/psychological-assessment/</vt:lpwstr>
      </vt:variant>
      <vt:variant>
        <vt:lpwstr/>
      </vt:variant>
      <vt:variant>
        <vt:i4>196609</vt:i4>
      </vt:variant>
      <vt:variant>
        <vt:i4>15</vt:i4>
      </vt:variant>
      <vt:variant>
        <vt:i4>0</vt:i4>
      </vt:variant>
      <vt:variant>
        <vt:i4>5</vt:i4>
      </vt:variant>
      <vt:variant>
        <vt:lpwstr>https://ddprimarycare.surreyplace.ca/tools-2/general-health/adaptive-functioning/</vt:lpwstr>
      </vt:variant>
      <vt:variant>
        <vt:lpwstr/>
      </vt:variant>
      <vt:variant>
        <vt:i4>8126521</vt:i4>
      </vt:variant>
      <vt:variant>
        <vt:i4>12</vt:i4>
      </vt:variant>
      <vt:variant>
        <vt:i4>0</vt:i4>
      </vt:variant>
      <vt:variant>
        <vt:i4>5</vt:i4>
      </vt:variant>
      <vt:variant>
        <vt:lpwstr>https://ddprimarycare.surreyplace.ca/tools-2/general-health/communicating-effectively/</vt:lpwstr>
      </vt:variant>
      <vt:variant>
        <vt:lpwstr/>
      </vt:variant>
      <vt:variant>
        <vt:i4>655381</vt:i4>
      </vt:variant>
      <vt:variant>
        <vt:i4>9</vt:i4>
      </vt:variant>
      <vt:variant>
        <vt:i4>0</vt:i4>
      </vt:variant>
      <vt:variant>
        <vt:i4>5</vt:i4>
      </vt:variant>
      <vt:variant>
        <vt:lpwstr>https://ddprimarycare.surreyplace.ca/tools-2/general-health/todays-visit/</vt:lpwstr>
      </vt:variant>
      <vt:variant>
        <vt:lpwstr/>
      </vt:variant>
      <vt:variant>
        <vt:i4>1507338</vt:i4>
      </vt:variant>
      <vt:variant>
        <vt:i4>6</vt:i4>
      </vt:variant>
      <vt:variant>
        <vt:i4>0</vt:i4>
      </vt:variant>
      <vt:variant>
        <vt:i4>5</vt:i4>
      </vt:variant>
      <vt:variant>
        <vt:lpwstr>https://ddprimarycare.surreyplace.ca/tools-2/general-health/about-my-health/</vt:lpwstr>
      </vt:variant>
      <vt:variant>
        <vt:lpwstr/>
      </vt:variant>
      <vt:variant>
        <vt:i4>2097202</vt:i4>
      </vt:variant>
      <vt:variant>
        <vt:i4>3</vt:i4>
      </vt:variant>
      <vt:variant>
        <vt:i4>0</vt:i4>
      </vt:variant>
      <vt:variant>
        <vt:i4>5</vt:i4>
      </vt:variant>
      <vt:variant>
        <vt:lpwstr>http://ddprimarycare.surreyplace.ca/wp-content/uploads/2019/08/5.2-My-Healthcare-Visit.pdf</vt:lpwstr>
      </vt:variant>
      <vt:variant>
        <vt:lpwstr/>
      </vt:variant>
      <vt:variant>
        <vt:i4>1507338</vt:i4>
      </vt:variant>
      <vt:variant>
        <vt:i4>0</vt:i4>
      </vt:variant>
      <vt:variant>
        <vt:i4>0</vt:i4>
      </vt:variant>
      <vt:variant>
        <vt:i4>5</vt:i4>
      </vt:variant>
      <vt:variant>
        <vt:lpwstr>https://ddprimarycare.surreyplace.ca/tools-2/general-health/about-my-health/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Ian Casson</dc:creator>
  <cp:keywords/>
  <dc:description/>
  <cp:lastModifiedBy>Heidi Diepstra</cp:lastModifiedBy>
  <cp:revision>2</cp:revision>
  <cp:lastPrinted>2023-02-08T15:14:00Z</cp:lastPrinted>
  <dcterms:created xsi:type="dcterms:W3CDTF">2023-04-05T16:22:00Z</dcterms:created>
  <dcterms:modified xsi:type="dcterms:W3CDTF">2023-04-05T16:22:00Z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0x01010069EBE4A77E79A84B8B0EB5CDFDBB377A</vt:lpwstr>
  </property>
  <property fmtid="{D5CDD505-2E9C-101B-9397-08002B2CF9AE}" pid="3" name="MediaServiceImageTags">
    <vt:lpwstr/>
  </property>
</Properties>
</file>